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B1261" w14:textId="77777777" w:rsidR="00235AD6" w:rsidRPr="004F30C5" w:rsidRDefault="00235AD6" w:rsidP="004F30C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4F30C5">
        <w:rPr>
          <w:b/>
          <w:bCs/>
          <w:smallCaps/>
          <w:sz w:val="24"/>
          <w:szCs w:val="24"/>
        </w:rPr>
        <w:t>Giovanni De Luna</w:t>
      </w:r>
      <w:r w:rsidRPr="004F30C5">
        <w:rPr>
          <w:b/>
          <w:bCs/>
          <w:sz w:val="24"/>
          <w:szCs w:val="24"/>
        </w:rPr>
        <w:t xml:space="preserve">, </w:t>
      </w:r>
      <w:r w:rsidRPr="004F30C5">
        <w:rPr>
          <w:b/>
          <w:bCs/>
          <w:i/>
          <w:iCs/>
          <w:sz w:val="24"/>
          <w:szCs w:val="24"/>
        </w:rPr>
        <w:t>L</w:t>
      </w:r>
      <w:r w:rsidRPr="004F30C5">
        <w:rPr>
          <w:b/>
          <w:bCs/>
          <w:i/>
          <w:iCs/>
          <w:color w:val="000000"/>
          <w:sz w:val="24"/>
          <w:szCs w:val="24"/>
        </w:rPr>
        <w:t>e aule universitarie nei giorni della “contestazione”</w:t>
      </w:r>
    </w:p>
    <w:p w14:paraId="459D038E" w14:textId="77777777" w:rsidR="00235AD6" w:rsidRPr="004F30C5" w:rsidRDefault="00235AD6" w:rsidP="004F30C5">
      <w:pPr>
        <w:shd w:val="clear" w:color="auto" w:fill="FFFFFF"/>
        <w:rPr>
          <w:smallCaps/>
        </w:rPr>
      </w:pPr>
    </w:p>
    <w:p w14:paraId="339E4324" w14:textId="77777777" w:rsidR="000D3F92" w:rsidRPr="004F30C5" w:rsidRDefault="00235AD6" w:rsidP="004F30C5">
      <w:pPr>
        <w:shd w:val="clear" w:color="auto" w:fill="FFFFFF"/>
        <w:jc w:val="right"/>
      </w:pPr>
      <w:r w:rsidRPr="004F30C5">
        <w:rPr>
          <w:smallCaps/>
        </w:rPr>
        <w:t>(</w:t>
      </w:r>
      <w:r w:rsidRPr="004F30C5">
        <w:t xml:space="preserve">da </w:t>
      </w:r>
      <w:r w:rsidR="000D3F92" w:rsidRPr="004F30C5">
        <w:rPr>
          <w:smallCaps/>
        </w:rPr>
        <w:t>G</w:t>
      </w:r>
      <w:r w:rsidRPr="004F30C5">
        <w:rPr>
          <w:smallCaps/>
        </w:rPr>
        <w:t>.</w:t>
      </w:r>
      <w:r w:rsidR="000D3F92" w:rsidRPr="004F30C5">
        <w:rPr>
          <w:smallCaps/>
        </w:rPr>
        <w:t xml:space="preserve"> De Luna</w:t>
      </w:r>
      <w:r w:rsidR="000D3F92" w:rsidRPr="004F30C5">
        <w:t xml:space="preserve">, </w:t>
      </w:r>
      <w:r w:rsidR="000D3F92" w:rsidRPr="004F30C5">
        <w:rPr>
          <w:i/>
          <w:iCs/>
        </w:rPr>
        <w:t>Le ragioni di un decennio 1969-1979. Militanza, violenza, sconfitta, memoria</w:t>
      </w:r>
      <w:r w:rsidR="000D3F92" w:rsidRPr="004F30C5">
        <w:t>, Feltrinelli, Milano 2011</w:t>
      </w:r>
      <w:r w:rsidR="000D3F92" w:rsidRPr="004F30C5">
        <w:rPr>
          <w:vertAlign w:val="superscript"/>
        </w:rPr>
        <w:t>2</w:t>
      </w:r>
      <w:r w:rsidR="000D3F92" w:rsidRPr="004F30C5">
        <w:t>, pp. 186-187</w:t>
      </w:r>
      <w:r w:rsidRPr="004F30C5">
        <w:t>)</w:t>
      </w:r>
    </w:p>
    <w:p w14:paraId="59828CC6" w14:textId="77777777" w:rsidR="000D3F92" w:rsidRPr="004F30C5" w:rsidRDefault="000D3F92" w:rsidP="004F30C5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</w:p>
    <w:p w14:paraId="005F79D3" w14:textId="77777777" w:rsidR="00DA3309" w:rsidRPr="004F30C5" w:rsidRDefault="00640820" w:rsidP="007256B6">
      <w:pPr>
        <w:shd w:val="clear" w:color="auto" w:fill="FFFFFF"/>
        <w:spacing w:line="276" w:lineRule="auto"/>
        <w:ind w:firstLine="426"/>
        <w:jc w:val="both"/>
        <w:rPr>
          <w:rFonts w:eastAsia="Times New Roman"/>
          <w:color w:val="000000"/>
          <w:sz w:val="24"/>
          <w:szCs w:val="24"/>
          <w:vertAlign w:val="superscript"/>
        </w:rPr>
      </w:pPr>
      <w:r w:rsidRPr="004F30C5">
        <w:rPr>
          <w:color w:val="000000"/>
          <w:sz w:val="24"/>
          <w:szCs w:val="24"/>
        </w:rPr>
        <w:t xml:space="preserve">Un film del 1969, </w:t>
      </w:r>
      <w:r w:rsidRPr="004F30C5">
        <w:rPr>
          <w:i/>
          <w:iCs/>
          <w:color w:val="000000"/>
          <w:sz w:val="24"/>
          <w:szCs w:val="24"/>
        </w:rPr>
        <w:t xml:space="preserve">Discutiamo, discutiamo, </w:t>
      </w:r>
      <w:r w:rsidRPr="004F30C5">
        <w:rPr>
          <w:color w:val="000000"/>
          <w:sz w:val="24"/>
          <w:szCs w:val="24"/>
        </w:rPr>
        <w:t xml:space="preserve">di Marco Bellocchio, ci restituisce alcune immagini significative per capire cosa erano diventate le aule universitarie nei giorni della </w:t>
      </w:r>
      <w:r w:rsidR="00E64F49" w:rsidRPr="004F30C5">
        <w:rPr>
          <w:color w:val="000000"/>
          <w:sz w:val="24"/>
          <w:szCs w:val="24"/>
        </w:rPr>
        <w:t>“</w:t>
      </w:r>
      <w:r w:rsidRPr="004F30C5">
        <w:rPr>
          <w:color w:val="000000"/>
          <w:sz w:val="24"/>
          <w:szCs w:val="24"/>
        </w:rPr>
        <w:t>contestazione</w:t>
      </w:r>
      <w:r w:rsidR="00E64F49" w:rsidRPr="004F30C5">
        <w:rPr>
          <w:color w:val="000000"/>
          <w:sz w:val="24"/>
          <w:szCs w:val="24"/>
        </w:rPr>
        <w:t>”</w:t>
      </w:r>
      <w:r w:rsidRPr="004F30C5">
        <w:rPr>
          <w:color w:val="000000"/>
          <w:sz w:val="24"/>
          <w:szCs w:val="24"/>
        </w:rPr>
        <w:t xml:space="preserve">. Professori confusi, assistenti schiacciati dal servilismo, cattedre e libri simbolicamente dissacrati, studenti che percorrono in lungo e in largo le aule, si sostituiscono ai docenti nel fare lezione, polemizzano con i loro compagni che </w:t>
      </w:r>
      <w:r w:rsidR="00E64F49" w:rsidRPr="004F30C5">
        <w:rPr>
          <w:color w:val="000000"/>
          <w:sz w:val="24"/>
          <w:szCs w:val="24"/>
        </w:rPr>
        <w:t>“</w:t>
      </w:r>
      <w:r w:rsidRPr="004F30C5">
        <w:rPr>
          <w:color w:val="000000"/>
          <w:sz w:val="24"/>
          <w:szCs w:val="24"/>
        </w:rPr>
        <w:t>vogliono studiare</w:t>
      </w:r>
      <w:r w:rsidR="00E64F49" w:rsidRPr="004F30C5">
        <w:rPr>
          <w:color w:val="000000"/>
          <w:sz w:val="24"/>
          <w:szCs w:val="24"/>
        </w:rPr>
        <w:t>”</w:t>
      </w:r>
      <w:r w:rsidRPr="004F30C5">
        <w:rPr>
          <w:color w:val="000000"/>
          <w:sz w:val="24"/>
          <w:szCs w:val="24"/>
        </w:rPr>
        <w:t xml:space="preserve">; il </w:t>
      </w:r>
      <w:r w:rsidRPr="004F30C5">
        <w:rPr>
          <w:i/>
          <w:iCs/>
          <w:color w:val="000000"/>
          <w:sz w:val="24"/>
          <w:szCs w:val="24"/>
        </w:rPr>
        <w:t xml:space="preserve">tu </w:t>
      </w:r>
      <w:r w:rsidRPr="004F30C5">
        <w:rPr>
          <w:color w:val="000000"/>
          <w:sz w:val="24"/>
          <w:szCs w:val="24"/>
        </w:rPr>
        <w:t xml:space="preserve">al posto del </w:t>
      </w:r>
      <w:r w:rsidRPr="004F30C5">
        <w:rPr>
          <w:i/>
          <w:iCs/>
          <w:color w:val="000000"/>
          <w:sz w:val="24"/>
          <w:szCs w:val="24"/>
        </w:rPr>
        <w:t xml:space="preserve">lei, </w:t>
      </w:r>
      <w:r w:rsidRPr="004F30C5">
        <w:rPr>
          <w:color w:val="000000"/>
          <w:sz w:val="24"/>
          <w:szCs w:val="24"/>
        </w:rPr>
        <w:t>gerarch</w:t>
      </w:r>
      <w:r w:rsidR="00E64F49" w:rsidRPr="004F30C5">
        <w:rPr>
          <w:color w:val="000000"/>
          <w:sz w:val="24"/>
          <w:szCs w:val="24"/>
        </w:rPr>
        <w:t>i</w:t>
      </w:r>
      <w:r w:rsidRPr="004F30C5">
        <w:rPr>
          <w:color w:val="000000"/>
          <w:sz w:val="24"/>
          <w:szCs w:val="24"/>
        </w:rPr>
        <w:t>e capovolte, irriverenza e sberleffo, posture, atteggiamenti in cui precipitano irrisione, parodia, beffa, pacche sulle spalle che superano la barriera della fisicit</w:t>
      </w:r>
      <w:r w:rsidRPr="004F30C5">
        <w:rPr>
          <w:rFonts w:eastAsia="Times New Roman"/>
          <w:color w:val="000000"/>
          <w:sz w:val="24"/>
          <w:szCs w:val="24"/>
        </w:rPr>
        <w:t>à per abbattersi su professori che hanno smarrito autorevolezza e autorità. La trasmissione del sapere perde la sua direzione verticale, dal</w:t>
      </w:r>
      <w:r w:rsidR="00E64F49" w:rsidRPr="004F30C5">
        <w:rPr>
          <w:rFonts w:eastAsia="Times New Roman"/>
          <w:color w:val="000000"/>
          <w:sz w:val="24"/>
          <w:szCs w:val="24"/>
        </w:rPr>
        <w:t>l’</w:t>
      </w:r>
      <w:r w:rsidRPr="004F30C5">
        <w:rPr>
          <w:rFonts w:eastAsia="Times New Roman"/>
          <w:color w:val="000000"/>
          <w:sz w:val="24"/>
          <w:szCs w:val="24"/>
        </w:rPr>
        <w:t>alto in basso, per modellarsi tutta in orizzontale</w:t>
      </w:r>
      <w:r w:rsidR="00DA3309" w:rsidRPr="004F30C5">
        <w:rPr>
          <w:rStyle w:val="Rimandonotaapidipagina"/>
          <w:rFonts w:eastAsia="Times New Roman"/>
          <w:color w:val="000000"/>
          <w:sz w:val="24"/>
          <w:szCs w:val="24"/>
        </w:rPr>
        <w:footnoteReference w:id="1"/>
      </w:r>
      <w:r w:rsidR="00DA3309" w:rsidRPr="004F30C5">
        <w:rPr>
          <w:rFonts w:eastAsia="Times New Roman"/>
          <w:color w:val="000000"/>
          <w:sz w:val="24"/>
          <w:szCs w:val="24"/>
        </w:rPr>
        <w:t>.</w:t>
      </w:r>
      <w:r w:rsidRPr="004F30C5">
        <w:rPr>
          <w:rFonts w:eastAsia="Times New Roman"/>
          <w:color w:val="000000"/>
          <w:sz w:val="24"/>
          <w:szCs w:val="24"/>
        </w:rPr>
        <w:t xml:space="preserve"> Per la didattica è il momento dei </w:t>
      </w:r>
      <w:proofErr w:type="spellStart"/>
      <w:r w:rsidRPr="004F30C5">
        <w:rPr>
          <w:rFonts w:eastAsia="Times New Roman"/>
          <w:color w:val="000000"/>
          <w:sz w:val="24"/>
          <w:szCs w:val="24"/>
        </w:rPr>
        <w:t>controcorsi</w:t>
      </w:r>
      <w:proofErr w:type="spellEnd"/>
      <w:r w:rsidRPr="004F30C5">
        <w:rPr>
          <w:rFonts w:eastAsia="Times New Roman"/>
          <w:color w:val="000000"/>
          <w:sz w:val="24"/>
          <w:szCs w:val="24"/>
        </w:rPr>
        <w:t xml:space="preserve">, delle aperture interdisciplinari, di nuovi modi di confrontarsi con il sapere e la conoscenza (durante la prima occupazione di Palazzo Campana, già quella del novembre 1967, si formarono commissioni di studio su 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>Scuola e società</w:t>
      </w:r>
      <w:r w:rsidRPr="004F30C5">
        <w:rPr>
          <w:rFonts w:eastAsia="Times New Roman"/>
          <w:iCs/>
          <w:color w:val="000000"/>
          <w:sz w:val="24"/>
          <w:szCs w:val="24"/>
        </w:rPr>
        <w:t xml:space="preserve">, 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>Pedagogia del dissenso</w:t>
      </w:r>
      <w:r w:rsidRPr="004F30C5">
        <w:rPr>
          <w:rFonts w:eastAsia="Times New Roman"/>
          <w:iCs/>
          <w:color w:val="000000"/>
          <w:sz w:val="24"/>
          <w:szCs w:val="24"/>
        </w:rPr>
        <w:t>,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 xml:space="preserve"> Cinema e società</w:t>
      </w:r>
      <w:r w:rsidRPr="004F30C5">
        <w:rPr>
          <w:rFonts w:eastAsia="Times New Roman"/>
          <w:iCs/>
          <w:color w:val="000000"/>
          <w:sz w:val="24"/>
          <w:szCs w:val="24"/>
        </w:rPr>
        <w:t>,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 xml:space="preserve"> Divisione del lavoro</w:t>
      </w:r>
      <w:r w:rsidRPr="004F30C5">
        <w:rPr>
          <w:rFonts w:eastAsia="Times New Roman"/>
          <w:iCs/>
          <w:color w:val="000000"/>
          <w:sz w:val="24"/>
          <w:szCs w:val="24"/>
        </w:rPr>
        <w:t>,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 xml:space="preserve"> Filosofia della scienza</w:t>
      </w:r>
      <w:r w:rsidRPr="004F30C5">
        <w:rPr>
          <w:rFonts w:eastAsia="Times New Roman"/>
          <w:iCs/>
          <w:color w:val="000000"/>
          <w:sz w:val="24"/>
          <w:szCs w:val="24"/>
        </w:rPr>
        <w:t>,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 xml:space="preserve"> Funzioni e compiti della filosofia</w:t>
      </w:r>
      <w:r w:rsidRPr="004F30C5">
        <w:rPr>
          <w:rFonts w:eastAsia="Times New Roman"/>
          <w:iCs/>
          <w:color w:val="000000"/>
          <w:sz w:val="24"/>
          <w:szCs w:val="24"/>
        </w:rPr>
        <w:t>,</w:t>
      </w:r>
      <w:r w:rsidRPr="004F30C5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4F30C5">
        <w:rPr>
          <w:rFonts w:eastAsia="Times New Roman"/>
          <w:color w:val="000000"/>
          <w:sz w:val="24"/>
          <w:szCs w:val="24"/>
        </w:rPr>
        <w:t>su Marcuse ecc.)</w:t>
      </w:r>
      <w:r w:rsidR="00DA3309" w:rsidRPr="004F30C5">
        <w:rPr>
          <w:rStyle w:val="Rimandonotaapidipagina"/>
          <w:rFonts w:eastAsia="Times New Roman"/>
          <w:color w:val="000000"/>
          <w:sz w:val="24"/>
          <w:szCs w:val="24"/>
        </w:rPr>
        <w:footnoteReference w:id="2"/>
      </w:r>
      <w:r w:rsidRPr="004F30C5">
        <w:rPr>
          <w:rFonts w:eastAsia="Times New Roman"/>
          <w:color w:val="000000"/>
          <w:sz w:val="24"/>
          <w:szCs w:val="24"/>
        </w:rPr>
        <w:t>; per la gestione delle lotte è il momento dell</w:t>
      </w:r>
      <w:r w:rsidR="00E64F49" w:rsidRPr="004F30C5">
        <w:rPr>
          <w:rFonts w:eastAsia="Times New Roman"/>
          <w:color w:val="000000"/>
          <w:sz w:val="24"/>
          <w:szCs w:val="24"/>
        </w:rPr>
        <w:t>’“</w:t>
      </w:r>
      <w:r w:rsidRPr="004F30C5">
        <w:rPr>
          <w:rFonts w:eastAsia="Times New Roman"/>
          <w:color w:val="000000"/>
          <w:sz w:val="24"/>
          <w:szCs w:val="24"/>
        </w:rPr>
        <w:t>assemblea</w:t>
      </w:r>
      <w:r w:rsidR="00E64F49" w:rsidRPr="004F30C5">
        <w:rPr>
          <w:rFonts w:eastAsia="Times New Roman"/>
          <w:color w:val="000000"/>
          <w:sz w:val="24"/>
          <w:szCs w:val="24"/>
        </w:rPr>
        <w:t>”</w:t>
      </w:r>
      <w:r w:rsidRPr="004F30C5">
        <w:rPr>
          <w:rFonts w:eastAsia="Times New Roman"/>
          <w:color w:val="000000"/>
          <w:sz w:val="24"/>
          <w:szCs w:val="24"/>
        </w:rPr>
        <w:t>; per l</w:t>
      </w:r>
      <w:r w:rsidR="00E64F49" w:rsidRPr="004F30C5">
        <w:rPr>
          <w:rFonts w:eastAsia="Times New Roman"/>
          <w:color w:val="000000"/>
          <w:sz w:val="24"/>
          <w:szCs w:val="24"/>
        </w:rPr>
        <w:t>’</w:t>
      </w:r>
      <w:r w:rsidRPr="004F30C5">
        <w:rPr>
          <w:rFonts w:eastAsia="Times New Roman"/>
          <w:color w:val="000000"/>
          <w:sz w:val="24"/>
          <w:szCs w:val="24"/>
        </w:rPr>
        <w:t xml:space="preserve">organizzazione della politica la </w:t>
      </w:r>
      <w:r w:rsidR="00E64F49" w:rsidRPr="004F30C5">
        <w:rPr>
          <w:rFonts w:eastAsia="Times New Roman"/>
          <w:color w:val="000000"/>
          <w:sz w:val="24"/>
          <w:szCs w:val="24"/>
        </w:rPr>
        <w:t>“</w:t>
      </w:r>
      <w:r w:rsidRPr="004F30C5">
        <w:rPr>
          <w:rFonts w:eastAsia="Times New Roman"/>
          <w:color w:val="000000"/>
          <w:sz w:val="24"/>
          <w:szCs w:val="24"/>
        </w:rPr>
        <w:t>comunità</w:t>
      </w:r>
      <w:r w:rsidR="00E64F49" w:rsidRPr="004F30C5">
        <w:rPr>
          <w:rFonts w:eastAsia="Times New Roman"/>
          <w:color w:val="000000"/>
          <w:sz w:val="24"/>
          <w:szCs w:val="24"/>
        </w:rPr>
        <w:t>”</w:t>
      </w:r>
      <w:r w:rsidRPr="004F30C5">
        <w:rPr>
          <w:rFonts w:eastAsia="Times New Roman"/>
          <w:color w:val="000000"/>
          <w:sz w:val="24"/>
          <w:szCs w:val="24"/>
        </w:rPr>
        <w:t xml:space="preserve"> si sostituisce al partito, alla sezione, alla cellula. La stessa idea di rivoluzione permanente, l</w:t>
      </w:r>
      <w:r w:rsidR="00E64F49" w:rsidRPr="004F30C5">
        <w:rPr>
          <w:rFonts w:eastAsia="Times New Roman"/>
          <w:color w:val="000000"/>
          <w:sz w:val="24"/>
          <w:szCs w:val="24"/>
        </w:rPr>
        <w:t>’</w:t>
      </w:r>
      <w:r w:rsidRPr="004F30C5">
        <w:rPr>
          <w:rFonts w:eastAsia="Times New Roman"/>
          <w:color w:val="000000"/>
          <w:sz w:val="24"/>
          <w:szCs w:val="24"/>
        </w:rPr>
        <w:t>altra caratteristica specifica della concezione politica del</w:t>
      </w:r>
      <w:r w:rsidR="00E64F49" w:rsidRPr="004F30C5">
        <w:rPr>
          <w:rFonts w:eastAsia="Times New Roman"/>
          <w:color w:val="000000"/>
          <w:sz w:val="24"/>
          <w:szCs w:val="24"/>
        </w:rPr>
        <w:t xml:space="preserve"> ’</w:t>
      </w:r>
      <w:r w:rsidRPr="004F30C5">
        <w:rPr>
          <w:rFonts w:eastAsia="Times New Roman"/>
          <w:color w:val="000000"/>
          <w:sz w:val="24"/>
          <w:szCs w:val="24"/>
        </w:rPr>
        <w:t>68, era strettamente legata alla co</w:t>
      </w:r>
      <w:r w:rsidR="000D3F92" w:rsidRPr="004F30C5">
        <w:rPr>
          <w:rFonts w:eastAsia="Times New Roman"/>
          <w:color w:val="000000"/>
          <w:sz w:val="24"/>
          <w:szCs w:val="24"/>
        </w:rPr>
        <w:t>munit</w:t>
      </w:r>
      <w:r w:rsidR="001A6074" w:rsidRPr="004F30C5">
        <w:rPr>
          <w:rFonts w:eastAsia="Times New Roman"/>
          <w:color w:val="000000"/>
          <w:sz w:val="24"/>
          <w:szCs w:val="24"/>
        </w:rPr>
        <w:t xml:space="preserve">à </w:t>
      </w:r>
      <w:r w:rsidR="000D3F92" w:rsidRPr="004F30C5">
        <w:rPr>
          <w:rFonts w:eastAsia="Times New Roman"/>
          <w:color w:val="000000"/>
          <w:sz w:val="24"/>
          <w:szCs w:val="24"/>
        </w:rPr>
        <w:t xml:space="preserve">come riferimento organizzativo, “presentandosi come il solo modo di continuare a vivere la felicità pubblica scoperta nel movimento, nel doppio significato di stato di </w:t>
      </w:r>
      <w:r w:rsidR="000D3F92" w:rsidRPr="004F30C5">
        <w:rPr>
          <w:rFonts w:eastAsia="Times New Roman"/>
          <w:i/>
          <w:iCs/>
          <w:color w:val="000000"/>
          <w:sz w:val="24"/>
          <w:szCs w:val="24"/>
        </w:rPr>
        <w:t xml:space="preserve">grazia </w:t>
      </w:r>
      <w:r w:rsidR="000D3F92" w:rsidRPr="004F30C5">
        <w:rPr>
          <w:rFonts w:eastAsia="Times New Roman"/>
          <w:color w:val="000000"/>
          <w:sz w:val="24"/>
          <w:szCs w:val="24"/>
        </w:rPr>
        <w:t>emotivo e di fattore potentissimo di coesione di una comunità di pari”</w:t>
      </w:r>
      <w:r w:rsidR="00DA3309" w:rsidRPr="004F30C5">
        <w:rPr>
          <w:rStyle w:val="Rimandonotaapidipagina"/>
          <w:rFonts w:eastAsia="Times New Roman"/>
          <w:color w:val="000000"/>
          <w:sz w:val="24"/>
          <w:szCs w:val="24"/>
        </w:rPr>
        <w:footnoteReference w:id="3"/>
      </w:r>
      <w:r w:rsidR="00DA3309" w:rsidRPr="004F30C5">
        <w:rPr>
          <w:rFonts w:eastAsia="Times New Roman"/>
          <w:color w:val="000000"/>
          <w:sz w:val="24"/>
          <w:szCs w:val="24"/>
        </w:rPr>
        <w:t>.</w:t>
      </w:r>
    </w:p>
    <w:sectPr w:rsidR="00DA3309" w:rsidRPr="004F30C5" w:rsidSect="00E64F49">
      <w:type w:val="continuous"/>
      <w:pgSz w:w="11909" w:h="16834"/>
      <w:pgMar w:top="1418" w:right="1134" w:bottom="1134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745C" w14:textId="77777777" w:rsidR="00763F12" w:rsidRDefault="00763F12" w:rsidP="00DA3309">
      <w:r>
        <w:separator/>
      </w:r>
    </w:p>
  </w:endnote>
  <w:endnote w:type="continuationSeparator" w:id="0">
    <w:p w14:paraId="57B858BA" w14:textId="77777777" w:rsidR="00763F12" w:rsidRDefault="00763F12" w:rsidP="00DA3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14AB9" w14:textId="77777777" w:rsidR="00763F12" w:rsidRDefault="00763F12" w:rsidP="00DA3309">
      <w:r>
        <w:separator/>
      </w:r>
    </w:p>
  </w:footnote>
  <w:footnote w:type="continuationSeparator" w:id="0">
    <w:p w14:paraId="507BABEC" w14:textId="77777777" w:rsidR="00763F12" w:rsidRDefault="00763F12" w:rsidP="00DA3309">
      <w:r>
        <w:continuationSeparator/>
      </w:r>
    </w:p>
  </w:footnote>
  <w:footnote w:id="1">
    <w:p w14:paraId="60ACAFD8" w14:textId="77777777" w:rsidR="00DA3309" w:rsidRPr="004F30C5" w:rsidRDefault="00DA3309" w:rsidP="00DA3309">
      <w:pPr>
        <w:pStyle w:val="Testonotaapidipagina"/>
        <w:jc w:val="both"/>
      </w:pPr>
      <w:r w:rsidRPr="004F30C5">
        <w:rPr>
          <w:rStyle w:val="Rimandonotaapidipagina"/>
        </w:rPr>
        <w:footnoteRef/>
      </w:r>
      <w:r w:rsidRPr="004F30C5">
        <w:t xml:space="preserve"> </w:t>
      </w:r>
      <w:r w:rsidRPr="004F30C5">
        <w:rPr>
          <w:i/>
          <w:iCs/>
          <w:color w:val="000000"/>
          <w:spacing w:val="2"/>
        </w:rPr>
        <w:t xml:space="preserve">Discutiamo, discutiamo </w:t>
      </w:r>
      <w:r w:rsidRPr="004F30C5">
        <w:rPr>
          <w:rFonts w:eastAsia="Times New Roman"/>
          <w:color w:val="000000"/>
          <w:spacing w:val="2"/>
        </w:rPr>
        <w:t>è</w:t>
      </w:r>
      <w:r w:rsidRPr="004F30C5">
        <w:rPr>
          <w:rFonts w:eastAsia="Times New Roman"/>
          <w:i/>
          <w:iCs/>
          <w:color w:val="000000"/>
          <w:spacing w:val="2"/>
        </w:rPr>
        <w:t xml:space="preserve"> </w:t>
      </w:r>
      <w:r w:rsidRPr="004F30C5">
        <w:rPr>
          <w:rFonts w:eastAsia="Times New Roman"/>
          <w:color w:val="000000"/>
          <w:spacing w:val="2"/>
        </w:rPr>
        <w:t xml:space="preserve">un episodio del film </w:t>
      </w:r>
      <w:r w:rsidRPr="004F30C5">
        <w:rPr>
          <w:rFonts w:eastAsia="Times New Roman"/>
          <w:i/>
          <w:iCs/>
          <w:color w:val="000000"/>
          <w:spacing w:val="2"/>
        </w:rPr>
        <w:t xml:space="preserve">Amore e rabbia, </w:t>
      </w:r>
      <w:r w:rsidRPr="004F30C5">
        <w:rPr>
          <w:rFonts w:eastAsia="Times New Roman"/>
          <w:color w:val="000000"/>
          <w:spacing w:val="3"/>
        </w:rPr>
        <w:t>che vide impegnati anche Bernardo Bertolucci, Pier Paolo Pasolini, Jean-Luc Godard e Carlo Lizzani.</w:t>
      </w:r>
    </w:p>
  </w:footnote>
  <w:footnote w:id="2">
    <w:p w14:paraId="5BE2D3D9" w14:textId="77777777" w:rsidR="00DA3309" w:rsidRPr="004F30C5" w:rsidRDefault="00DA3309" w:rsidP="00DA3309">
      <w:pPr>
        <w:pStyle w:val="Testonotaapidipagina"/>
        <w:jc w:val="both"/>
      </w:pPr>
      <w:r w:rsidRPr="004F30C5">
        <w:rPr>
          <w:rStyle w:val="Rimandonotaapidipagina"/>
        </w:rPr>
        <w:footnoteRef/>
      </w:r>
      <w:r w:rsidRPr="004F30C5">
        <w:t xml:space="preserve"> </w:t>
      </w:r>
      <w:r w:rsidRPr="004F30C5">
        <w:rPr>
          <w:color w:val="000000"/>
        </w:rPr>
        <w:t xml:space="preserve">Cfr. Peppino Ortoleva, </w:t>
      </w:r>
      <w:r w:rsidRPr="004F30C5">
        <w:rPr>
          <w:i/>
          <w:iCs/>
          <w:color w:val="000000"/>
        </w:rPr>
        <w:t xml:space="preserve">Introduzione, </w:t>
      </w:r>
      <w:r w:rsidRPr="004F30C5">
        <w:rPr>
          <w:color w:val="000000"/>
        </w:rPr>
        <w:t xml:space="preserve">in </w:t>
      </w:r>
      <w:r w:rsidRPr="004F30C5">
        <w:rPr>
          <w:i/>
          <w:iCs/>
          <w:color w:val="000000"/>
        </w:rPr>
        <w:t xml:space="preserve">Documenti della rivolta </w:t>
      </w:r>
      <w:r w:rsidRPr="004F30C5">
        <w:rPr>
          <w:i/>
          <w:iCs/>
          <w:color w:val="000000"/>
          <w:spacing w:val="1"/>
        </w:rPr>
        <w:t xml:space="preserve">universitaria, </w:t>
      </w:r>
      <w:r w:rsidRPr="004F30C5">
        <w:rPr>
          <w:color w:val="000000"/>
          <w:spacing w:val="1"/>
        </w:rPr>
        <w:t xml:space="preserve">a cura del Movimento studentesco, Laterza, Bari 1968, </w:t>
      </w:r>
      <w:r w:rsidRPr="004F30C5">
        <w:rPr>
          <w:color w:val="000000"/>
        </w:rPr>
        <w:t>p. 229.</w:t>
      </w:r>
    </w:p>
  </w:footnote>
  <w:footnote w:id="3">
    <w:p w14:paraId="27E618A1" w14:textId="77777777" w:rsidR="00DA3309" w:rsidRPr="004F30C5" w:rsidRDefault="00DA3309" w:rsidP="00DA3309">
      <w:pPr>
        <w:pStyle w:val="Testonotaapidipagina"/>
        <w:jc w:val="both"/>
      </w:pPr>
      <w:r w:rsidRPr="004F30C5">
        <w:rPr>
          <w:rStyle w:val="Rimandonotaapidipagina"/>
        </w:rPr>
        <w:footnoteRef/>
      </w:r>
      <w:r w:rsidRPr="004F30C5">
        <w:t xml:space="preserve"> </w:t>
      </w:r>
      <w:r w:rsidRPr="004F30C5">
        <w:rPr>
          <w:color w:val="000000"/>
          <w:spacing w:val="1"/>
        </w:rPr>
        <w:t xml:space="preserve">Cfr. Peppino Ortoleva, </w:t>
      </w:r>
      <w:r w:rsidRPr="004F30C5">
        <w:rPr>
          <w:i/>
          <w:iCs/>
          <w:color w:val="000000"/>
          <w:spacing w:val="1"/>
        </w:rPr>
        <w:t xml:space="preserve">Saggio sui movimenti del 1968 in Europa e in America, </w:t>
      </w:r>
      <w:r w:rsidR="007726E5" w:rsidRPr="004F30C5">
        <w:rPr>
          <w:color w:val="000000"/>
          <w:spacing w:val="1"/>
        </w:rPr>
        <w:t>Editori Riuniti</w:t>
      </w:r>
      <w:r w:rsidRPr="004F30C5">
        <w:rPr>
          <w:color w:val="000000"/>
          <w:spacing w:val="1"/>
        </w:rPr>
        <w:t xml:space="preserve">, </w:t>
      </w:r>
      <w:r w:rsidR="007726E5" w:rsidRPr="004F30C5">
        <w:rPr>
          <w:color w:val="000000"/>
          <w:spacing w:val="1"/>
        </w:rPr>
        <w:t xml:space="preserve">Roma 1988, </w:t>
      </w:r>
      <w:r w:rsidRPr="004F30C5">
        <w:rPr>
          <w:color w:val="000000"/>
          <w:spacing w:val="1"/>
        </w:rPr>
        <w:t>p. 195.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F49"/>
    <w:rsid w:val="000D3F92"/>
    <w:rsid w:val="000F6C89"/>
    <w:rsid w:val="001A6074"/>
    <w:rsid w:val="00235AD6"/>
    <w:rsid w:val="004F30C5"/>
    <w:rsid w:val="00640820"/>
    <w:rsid w:val="00684A1D"/>
    <w:rsid w:val="0072393E"/>
    <w:rsid w:val="007256B6"/>
    <w:rsid w:val="00763F12"/>
    <w:rsid w:val="007726E5"/>
    <w:rsid w:val="00DA3309"/>
    <w:rsid w:val="00E64F49"/>
    <w:rsid w:val="00E7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8FB42"/>
  <w15:docId w15:val="{2A3AE45B-29A3-4379-8B28-AC1BF4FD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C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A330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A3309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A33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FF52F-D018-440F-B089-E0350844F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g.paolo</dc:creator>
  <cp:keywords/>
  <dc:description/>
  <cp:lastModifiedBy>Elisa Fenzi</cp:lastModifiedBy>
  <cp:revision>10</cp:revision>
  <dcterms:created xsi:type="dcterms:W3CDTF">2022-09-20T09:54:00Z</dcterms:created>
  <dcterms:modified xsi:type="dcterms:W3CDTF">2023-11-18T08:16:00Z</dcterms:modified>
</cp:coreProperties>
</file>