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DF72B" w14:textId="77777777" w:rsidR="006D6042" w:rsidRPr="003F10FF" w:rsidRDefault="006D6042" w:rsidP="003F10FF">
      <w:pPr>
        <w:shd w:val="clear" w:color="auto" w:fill="FFFFFF"/>
        <w:ind w:left="10" w:right="5" w:firstLine="42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10FF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</w:rPr>
        <w:t>Romano Luperini - Pietro Cataldi - Lidia Marchiani</w:t>
      </w:r>
      <w:r w:rsidRPr="003F10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3F10F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La storia, la cultura e l’immaginario del ’68</w:t>
      </w:r>
    </w:p>
    <w:p w14:paraId="642FEB8F" w14:textId="77777777" w:rsidR="006D6042" w:rsidRPr="003F10FF" w:rsidRDefault="006D6042" w:rsidP="003F10FF">
      <w:pPr>
        <w:shd w:val="clear" w:color="auto" w:fill="FFFFFF"/>
        <w:ind w:left="10" w:right="5" w:firstLine="421"/>
        <w:jc w:val="both"/>
        <w:rPr>
          <w:rFonts w:ascii="Times New Roman" w:eastAsia="Times New Roman" w:hAnsi="Times New Roman" w:cs="Times New Roman"/>
          <w:color w:val="000000"/>
        </w:rPr>
      </w:pPr>
    </w:p>
    <w:p w14:paraId="1D6CBCF8" w14:textId="77777777" w:rsidR="006D6042" w:rsidRPr="003F10FF" w:rsidRDefault="006D6042" w:rsidP="003F10FF">
      <w:pPr>
        <w:shd w:val="clear" w:color="auto" w:fill="FFFFFF"/>
        <w:ind w:left="10" w:right="5" w:firstLine="421"/>
        <w:jc w:val="right"/>
        <w:rPr>
          <w:rFonts w:ascii="Times New Roman" w:hAnsi="Times New Roman" w:cs="Times New Roman"/>
        </w:rPr>
      </w:pPr>
      <w:r w:rsidRPr="003F10FF">
        <w:rPr>
          <w:rFonts w:ascii="Times New Roman" w:hAnsi="Times New Roman" w:cs="Times New Roman"/>
          <w:kern w:val="24"/>
        </w:rPr>
        <w:t>(da</w:t>
      </w:r>
      <w:r w:rsidRPr="003F10FF">
        <w:rPr>
          <w:rFonts w:ascii="Times New Roman" w:hAnsi="Times New Roman" w:cs="Times New Roman"/>
          <w:smallCaps/>
          <w:kern w:val="24"/>
        </w:rPr>
        <w:t xml:space="preserve"> R</w:t>
      </w:r>
      <w:r w:rsidR="009755A5" w:rsidRPr="003F10FF">
        <w:rPr>
          <w:rFonts w:ascii="Times New Roman" w:hAnsi="Times New Roman" w:cs="Times New Roman"/>
          <w:smallCaps/>
          <w:kern w:val="24"/>
        </w:rPr>
        <w:t>.</w:t>
      </w:r>
      <w:r w:rsidRPr="003F10FF">
        <w:rPr>
          <w:rFonts w:ascii="Times New Roman" w:hAnsi="Times New Roman" w:cs="Times New Roman"/>
          <w:smallCaps/>
          <w:kern w:val="24"/>
        </w:rPr>
        <w:t xml:space="preserve"> Luperini </w:t>
      </w:r>
      <w:r w:rsidR="009755A5" w:rsidRPr="003F10FF">
        <w:rPr>
          <w:rFonts w:ascii="Times New Roman" w:hAnsi="Times New Roman" w:cs="Times New Roman"/>
          <w:smallCaps/>
          <w:kern w:val="24"/>
        </w:rPr>
        <w:t>–</w:t>
      </w:r>
      <w:r w:rsidRPr="003F10FF">
        <w:rPr>
          <w:rFonts w:ascii="Times New Roman" w:hAnsi="Times New Roman" w:cs="Times New Roman"/>
          <w:smallCaps/>
          <w:kern w:val="24"/>
        </w:rPr>
        <w:t xml:space="preserve"> P</w:t>
      </w:r>
      <w:r w:rsidR="009755A5" w:rsidRPr="003F10FF">
        <w:rPr>
          <w:rFonts w:ascii="Times New Roman" w:hAnsi="Times New Roman" w:cs="Times New Roman"/>
          <w:smallCaps/>
          <w:kern w:val="24"/>
        </w:rPr>
        <w:t>.</w:t>
      </w:r>
      <w:r w:rsidRPr="003F10FF">
        <w:rPr>
          <w:rFonts w:ascii="Times New Roman" w:hAnsi="Times New Roman" w:cs="Times New Roman"/>
          <w:smallCaps/>
          <w:kern w:val="24"/>
        </w:rPr>
        <w:t xml:space="preserve"> Cataldi </w:t>
      </w:r>
      <w:r w:rsidR="009755A5" w:rsidRPr="003F10FF">
        <w:rPr>
          <w:rFonts w:ascii="Times New Roman" w:hAnsi="Times New Roman" w:cs="Times New Roman"/>
          <w:smallCaps/>
          <w:kern w:val="24"/>
        </w:rPr>
        <w:t>–</w:t>
      </w:r>
      <w:r w:rsidRPr="003F10FF">
        <w:rPr>
          <w:rFonts w:ascii="Times New Roman" w:hAnsi="Times New Roman" w:cs="Times New Roman"/>
          <w:smallCaps/>
          <w:kern w:val="24"/>
        </w:rPr>
        <w:t xml:space="preserve"> L</w:t>
      </w:r>
      <w:r w:rsidR="009755A5" w:rsidRPr="003F10FF">
        <w:rPr>
          <w:rFonts w:ascii="Times New Roman" w:hAnsi="Times New Roman" w:cs="Times New Roman"/>
          <w:smallCaps/>
          <w:kern w:val="24"/>
        </w:rPr>
        <w:t>.</w:t>
      </w:r>
      <w:r w:rsidRPr="003F10FF">
        <w:rPr>
          <w:rFonts w:ascii="Times New Roman" w:hAnsi="Times New Roman" w:cs="Times New Roman"/>
          <w:smallCaps/>
          <w:kern w:val="24"/>
        </w:rPr>
        <w:t xml:space="preserve"> Marchiani</w:t>
      </w:r>
      <w:r w:rsidRPr="003F10FF">
        <w:rPr>
          <w:rFonts w:ascii="Times New Roman" w:hAnsi="Times New Roman" w:cs="Times New Roman"/>
          <w:kern w:val="24"/>
        </w:rPr>
        <w:t xml:space="preserve">, </w:t>
      </w:r>
      <w:r w:rsidRPr="003F10FF">
        <w:rPr>
          <w:rFonts w:ascii="Times New Roman" w:hAnsi="Times New Roman" w:cs="Times New Roman"/>
          <w:i/>
          <w:iCs/>
          <w:kern w:val="24"/>
        </w:rPr>
        <w:t>La scrittura e l’interpretazione. Storia e antologia della letteratura italiana nel quadro della civiltà europea</w:t>
      </w:r>
      <w:r w:rsidRPr="003F10FF">
        <w:rPr>
          <w:rFonts w:ascii="Times New Roman" w:hAnsi="Times New Roman" w:cs="Times New Roman"/>
          <w:kern w:val="24"/>
        </w:rPr>
        <w:t xml:space="preserve">, Palumbo, Palermo 1998, vol. 6, tomo secondo, </w:t>
      </w:r>
      <w:r w:rsidRPr="003F10FF">
        <w:rPr>
          <w:rFonts w:ascii="Times New Roman" w:hAnsi="Times New Roman" w:cs="Times New Roman"/>
        </w:rPr>
        <w:t>pp. 927-928)</w:t>
      </w:r>
    </w:p>
    <w:p w14:paraId="6F9A3EC6" w14:textId="77777777" w:rsidR="006D6042" w:rsidRPr="003F10FF" w:rsidRDefault="006D6042" w:rsidP="003F10FF">
      <w:pPr>
        <w:shd w:val="clear" w:color="auto" w:fill="FFFFFF"/>
        <w:spacing w:before="5"/>
        <w:ind w:left="5" w:right="5" w:firstLine="42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67131D" w14:textId="5D28EAED" w:rsidR="003F5E45" w:rsidRPr="003F10FF" w:rsidRDefault="0036337B" w:rsidP="003F10FF">
      <w:pPr>
        <w:shd w:val="clear" w:color="auto" w:fill="FFFFFF"/>
        <w:spacing w:before="5"/>
        <w:ind w:left="5" w:right="5" w:firstLine="421"/>
        <w:jc w:val="both"/>
        <w:rPr>
          <w:rFonts w:ascii="Times New Roman" w:hAnsi="Times New Roman" w:cs="Times New Roman"/>
          <w:sz w:val="24"/>
          <w:szCs w:val="24"/>
        </w:rPr>
      </w:pPr>
      <w:r w:rsidRPr="003F10FF">
        <w:rPr>
          <w:rFonts w:ascii="Times New Roman" w:hAnsi="Times New Roman" w:cs="Times New Roman"/>
          <w:color w:val="000000"/>
          <w:sz w:val="24"/>
          <w:szCs w:val="24"/>
        </w:rPr>
        <w:t>Il movimento del ’68 nacque dalla lotta sviluppatasi alla fine del 1967 a Pisa, Trento e Torino con l’occupazione delle universit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à e poi estesasi anche a Milano, Roma e negli altri centri accademici, e infine anche alle scuole medie superiori. All’inizio il movimento oscillò fra ipotesi (prevalenti a Torino) di lotta contro l’istituzione e contro l’autoritarismo accademico e ipotesi (prevalenti invece a Pisa) volte a sindacalizzare il movimento degli studenti partendo dalle loro condizioni materiali e dall’idea che essi devono considerarsi futuri lavoratori intellettuali. Poi il movimento si diffuse con obiettivi analoghi in tutta Italia: assemblea e democrazia dal basso al posto degli organismi rappresentativi tradizionali; egualitarismo </w:t>
      </w:r>
      <w:r w:rsidR="00487003">
        <w:rPr>
          <w:rFonts w:ascii="Times New Roman" w:eastAsia="Times New Roman" w:hAnsi="Times New Roman" w:cs="Times New Roman"/>
          <w:color w:val="000000"/>
          <w:sz w:val="24"/>
          <w:szCs w:val="24"/>
        </w:rPr>
        <w:t>e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antindividualismo</w:t>
      </w:r>
      <w:proofErr w:type="spellEnd"/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(sino alla proposta di esami collettivi con voto eguale per tutti); unità con gli altri ceti in lotta e soprattutto con gli operai; solidarietà antimperialistica con la guerriglia in America Latina (nasce allora il mito di Che Guevara), con la rivoluzione castrista a Cuba, con i vietcong in lotta contro gli Stati Uniti nel Vietnam, con la rivoluzione culturale cinese.</w:t>
      </w:r>
    </w:p>
    <w:p w14:paraId="0C5509A5" w14:textId="77777777" w:rsidR="003F5E45" w:rsidRPr="003F10FF" w:rsidRDefault="0036337B" w:rsidP="003F10FF">
      <w:pPr>
        <w:shd w:val="clear" w:color="auto" w:fill="FFFFFF"/>
        <w:ind w:left="14" w:firstLine="421"/>
        <w:jc w:val="both"/>
        <w:rPr>
          <w:rFonts w:ascii="Times New Roman" w:hAnsi="Times New Roman" w:cs="Times New Roman"/>
          <w:sz w:val="24"/>
          <w:szCs w:val="24"/>
        </w:rPr>
      </w:pPr>
      <w:r w:rsidRPr="003F10FF">
        <w:rPr>
          <w:rFonts w:ascii="Times New Roman" w:hAnsi="Times New Roman" w:cs="Times New Roman"/>
          <w:color w:val="000000"/>
          <w:sz w:val="24"/>
          <w:szCs w:val="24"/>
        </w:rPr>
        <w:t xml:space="preserve">L’immaginario </w:t>
      </w:r>
      <w:r w:rsidRPr="00C609B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3F10F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F10FF">
        <w:rPr>
          <w:rFonts w:ascii="Times New Roman" w:hAnsi="Times New Roman" w:cs="Times New Roman"/>
          <w:color w:val="000000"/>
          <w:sz w:val="24"/>
          <w:szCs w:val="24"/>
        </w:rPr>
        <w:t>la cultura del ’68 appaiono influenzati dagli avvenimenti politici di quell’anno e dalla cultura specifica di quella generazione di giovani. Fra gli avvenimenti politici, oltre a quelli gi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à ricordati, bisogna elencare la rivolta dei neri nei ghetti degli Stati Uniti guidati dal movimento del 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Black Power,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la ribellione dei 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figli dei fiori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Berkeley e nelle altre università americane (dai 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figli dei fiori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nacquero poi gli 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hippies),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che ebbe mol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ta popolarità anche per il rifiuto della guerra nel Vietnam, e la 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primavera di Praga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Dubcek repressa dai carri armati sovietici nel corso del 1968. Sul piano culturale, una influenza notevole ebbero, all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inizio, il movimento situazionista francese (di cultura surrealista, voleva 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l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immaginazione al potere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e quello americano dei 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bea</w:t>
      </w:r>
      <w:r w:rsidR="00EF1E53"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(Kerouac, Ginsberg). Un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influenza più direttamente politica ebbero i documenti del 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Black Power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e soprattutto l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autobiografia del 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leader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nero Malcom X (tradotta in Italia nel 1967). Sempre dagli Stati Uniti giunse il libro del filosofo Herbert Marcuse, 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</w:t>
      </w:r>
      <w:r w:rsidR="00EF1E53"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uomo a una dimensione,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che poneva sotto accusa la società dei consumi mostrando l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omologazione di massa e la sostanziale illiberalità che essa produceva (il libro, uscito nel 1964, fu</w:t>
      </w:r>
      <w:r w:rsidR="00B24829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tradotto in italiano nel 1967</w:t>
      </w:r>
      <w:r w:rsidR="00EF1E53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[…]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). Un grande suc</w:t>
      </w:r>
      <w:r w:rsidRPr="003F10FF">
        <w:rPr>
          <w:rFonts w:ascii="Times New Roman" w:hAnsi="Times New Roman" w:cs="Times New Roman"/>
          <w:color w:val="000000"/>
          <w:sz w:val="24"/>
          <w:szCs w:val="24"/>
        </w:rPr>
        <w:t xml:space="preserve">cesso ebbe fra i giovani il </w:t>
      </w:r>
      <w:r w:rsidRPr="003F10FF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Diario </w:t>
      </w:r>
      <w:r w:rsidRPr="003F10FF">
        <w:rPr>
          <w:rFonts w:ascii="Times New Roman" w:hAnsi="Times New Roman" w:cs="Times New Roman"/>
          <w:color w:val="000000"/>
          <w:sz w:val="24"/>
          <w:szCs w:val="24"/>
        </w:rPr>
        <w:t>di Che Guevara, che creava il mito del guerrigliero antimperialista.</w:t>
      </w:r>
    </w:p>
    <w:p w14:paraId="355FA4B5" w14:textId="77777777" w:rsidR="003F5E45" w:rsidRPr="003F10FF" w:rsidRDefault="006E7E45" w:rsidP="003F10FF">
      <w:pPr>
        <w:shd w:val="clear" w:color="auto" w:fill="FFFFFF"/>
        <w:ind w:right="14" w:firstLine="421"/>
        <w:jc w:val="both"/>
        <w:rPr>
          <w:rFonts w:ascii="Times New Roman" w:hAnsi="Times New Roman" w:cs="Times New Roman"/>
          <w:sz w:val="24"/>
          <w:szCs w:val="24"/>
        </w:rPr>
      </w:pPr>
      <w:r w:rsidRPr="003F10FF">
        <w:rPr>
          <w:rFonts w:ascii="Times New Roman" w:hAnsi="Times New Roman" w:cs="Times New Roman"/>
          <w:color w:val="000000"/>
          <w:sz w:val="24"/>
          <w:szCs w:val="24"/>
        </w:rPr>
        <w:t>Bisogna infine ricordare la diffusione che ebbero i movimenti anti-istituzionali anche nel campo della psichiatria e della giustizia. In Italia si diffuse il pensiero dello psichiatra sudafricano David Cooper e si cominci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ò a mettere in discussione la struttura stessa del manicomio. Nacque allora il movimento di </w:t>
      </w:r>
      <w:r w:rsidR="001D635A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Psichiatria libera</w:t>
      </w:r>
      <w:r w:rsidR="001D635A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. Ma movimenti affini nacquero anche in altre istituzioni, per esempio in quella della giustizia.</w:t>
      </w:r>
    </w:p>
    <w:p w14:paraId="313E7C36" w14:textId="77777777" w:rsidR="003F5E45" w:rsidRPr="003F10FF" w:rsidRDefault="006E7E45" w:rsidP="003F10FF">
      <w:pPr>
        <w:shd w:val="clear" w:color="auto" w:fill="FFFFFF"/>
        <w:ind w:firstLine="421"/>
        <w:jc w:val="both"/>
        <w:rPr>
          <w:rFonts w:ascii="Times New Roman" w:hAnsi="Times New Roman" w:cs="Times New Roman"/>
          <w:sz w:val="24"/>
          <w:szCs w:val="24"/>
        </w:rPr>
      </w:pPr>
      <w:r w:rsidRPr="003F10FF">
        <w:rPr>
          <w:rFonts w:ascii="Times New Roman" w:hAnsi="Times New Roman" w:cs="Times New Roman"/>
          <w:color w:val="000000"/>
          <w:sz w:val="24"/>
          <w:szCs w:val="24"/>
        </w:rPr>
        <w:t>In Italia l</w:t>
      </w:r>
      <w:r w:rsidR="001D635A" w:rsidRPr="003F10FF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hAnsi="Times New Roman" w:cs="Times New Roman"/>
          <w:color w:val="000000"/>
          <w:sz w:val="24"/>
          <w:szCs w:val="24"/>
        </w:rPr>
        <w:t xml:space="preserve">educazione politica era formata soprattutto dalle riviste del </w:t>
      </w:r>
      <w:r w:rsidR="001D635A" w:rsidRPr="003F10FF">
        <w:rPr>
          <w:rFonts w:ascii="Times New Roman" w:hAnsi="Times New Roman" w:cs="Times New Roman"/>
          <w:color w:val="000000"/>
          <w:sz w:val="24"/>
          <w:szCs w:val="24"/>
        </w:rPr>
        <w:t>’68</w:t>
      </w:r>
      <w:r w:rsidRPr="003F10FF">
        <w:rPr>
          <w:rFonts w:ascii="Times New Roman" w:hAnsi="Times New Roman" w:cs="Times New Roman"/>
          <w:color w:val="000000"/>
          <w:sz w:val="24"/>
          <w:szCs w:val="24"/>
        </w:rPr>
        <w:t xml:space="preserve">, molte delle quali di origine operaia </w:t>
      </w:r>
      <w:r w:rsidR="001D635A" w:rsidRPr="003F10FF">
        <w:rPr>
          <w:rFonts w:ascii="Times New Roman" w:hAnsi="Times New Roman" w:cs="Times New Roman"/>
          <w:color w:val="000000"/>
          <w:sz w:val="24"/>
          <w:szCs w:val="24"/>
        </w:rPr>
        <w:t>[…]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Fra i libri grande influenza ebbe 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Lettera a una professoressa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(1967), scritto da un prete, don Milani, e dai suoi alunni, i ragazzi di Barbiana, a Vicchio di Mugello. Esso poneva sotto accusa la selezione e il carattere borghese della scuola media dell</w:t>
      </w:r>
      <w:r w:rsidR="001D635A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obbligo. Fra gli intellettuali, solo Franco Fortini, con </w:t>
      </w:r>
      <w:r w:rsidRPr="003F10F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Verifica dei poteri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(1965), ebbe un forte impatto nella formazione della nuova generazione, proponendo un marxismo mo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derno, assai diverso da quello della tradizione togliattiana.</w:t>
      </w:r>
    </w:p>
    <w:p w14:paraId="452FEFE5" w14:textId="77777777" w:rsidR="003F5E45" w:rsidRPr="003F10FF" w:rsidRDefault="006E7E45" w:rsidP="003F10FF">
      <w:pPr>
        <w:shd w:val="clear" w:color="auto" w:fill="FFFFFF"/>
        <w:ind w:left="5" w:right="5" w:firstLine="421"/>
        <w:jc w:val="both"/>
        <w:rPr>
          <w:rFonts w:ascii="Times New Roman" w:hAnsi="Times New Roman" w:cs="Times New Roman"/>
          <w:sz w:val="24"/>
          <w:szCs w:val="24"/>
        </w:rPr>
      </w:pPr>
      <w:r w:rsidRPr="003F10FF">
        <w:rPr>
          <w:rFonts w:ascii="Times New Roman" w:hAnsi="Times New Roman" w:cs="Times New Roman"/>
          <w:color w:val="000000"/>
          <w:sz w:val="24"/>
          <w:szCs w:val="24"/>
        </w:rPr>
        <w:t>Come si vede, nell</w:t>
      </w:r>
      <w:r w:rsidR="001D635A" w:rsidRPr="003F10FF">
        <w:rPr>
          <w:rFonts w:ascii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hAnsi="Times New Roman" w:cs="Times New Roman"/>
          <w:color w:val="000000"/>
          <w:sz w:val="24"/>
          <w:szCs w:val="24"/>
        </w:rPr>
        <w:t xml:space="preserve">immaginario del </w:t>
      </w:r>
      <w:r w:rsidR="001D635A" w:rsidRPr="003F10FF">
        <w:rPr>
          <w:rFonts w:ascii="Times New Roman" w:hAnsi="Times New Roman" w:cs="Times New Roman"/>
          <w:color w:val="000000"/>
          <w:sz w:val="24"/>
          <w:szCs w:val="24"/>
        </w:rPr>
        <w:t>’68</w:t>
      </w:r>
      <w:r w:rsidRPr="003F10FF">
        <w:rPr>
          <w:rFonts w:ascii="Times New Roman" w:hAnsi="Times New Roman" w:cs="Times New Roman"/>
          <w:color w:val="000000"/>
          <w:sz w:val="24"/>
          <w:szCs w:val="24"/>
        </w:rPr>
        <w:t xml:space="preserve"> confluiscono aspetti diversi: una carica critica, negativa, talora anarchica e comunque sempre antiautoritaria e antiistituzionale, e una tendente piuttosto al senso della collettivit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à, della solidarietà, all</w:t>
      </w:r>
      <w:r w:rsidR="001D635A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egualitarismo, alla messa in discussione della differenza fra lavoro manuale e intellettuale, all</w:t>
      </w:r>
      <w:r w:rsidR="001D635A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utopia comunista. Le figure prevalenti nell</w:t>
      </w:r>
      <w:r w:rsidR="001D635A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immaginario sono quelle del guerrigliero che si sacrifica per il popolo, dell</w:t>
      </w:r>
      <w:r w:rsidR="001D635A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intellettuale che rinuncia al proprio ruolo borghese, del militante che dedica la propria vita a un ideale. A ciò bisogna unire il mito dell</w:t>
      </w:r>
      <w:r w:rsidR="001D635A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’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operaio forte e buono, visto come indispensabile compagno di lotta.</w:t>
      </w:r>
    </w:p>
    <w:p w14:paraId="5B12FA95" w14:textId="77777777" w:rsidR="00E35E81" w:rsidRPr="003F10FF" w:rsidRDefault="006E7E45" w:rsidP="003F10FF">
      <w:pPr>
        <w:shd w:val="clear" w:color="auto" w:fill="FFFFFF"/>
        <w:ind w:left="10" w:right="5" w:firstLine="4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10FF">
        <w:rPr>
          <w:rFonts w:ascii="Times New Roman" w:hAnsi="Times New Roman" w:cs="Times New Roman"/>
          <w:color w:val="000000"/>
          <w:sz w:val="24"/>
          <w:szCs w:val="24"/>
        </w:rPr>
        <w:t>Mentre in un primo momento, nel triennio 1967-1969, prevalse la spontaneit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à del movimento, con i suoi caratteri inventivi e con la sua creatività di massa, successivamente esso si suddivise in </w:t>
      </w: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tanti gruppi organizzati, ora di tipo economicista e antiistituzionale (volti cioè a sollecitare le lotte economiche in fabbrica e lotte direttamente politiche contro le istituzioni), come Lotta Continua e Autonomia Operaia, ora invece ispirati alla storia del movimento operaio, come Avanguardia</w:t>
      </w:r>
      <w:r w:rsidR="004D56DC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Operaia</w:t>
      </w:r>
      <w:r w:rsidR="00E35E81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(che si rifaceva al leninismo e al trotzkismo) o il Movimento Studentesco della Statale di Milano (che recuperava anche lo stalinismo).</w:t>
      </w:r>
    </w:p>
    <w:p w14:paraId="02241088" w14:textId="77777777" w:rsidR="00E35E81" w:rsidRPr="003F10FF" w:rsidRDefault="00E35E81" w:rsidP="003F10FF">
      <w:pPr>
        <w:shd w:val="clear" w:color="auto" w:fill="FFFFFF"/>
        <w:ind w:left="10" w:right="5" w:firstLine="4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Dalla logica dei piccoli gruppi, e anzi dalla loro degenerazione, nacquero poi negli anni Settanta vere e proprie organizzazioni clandestine e terroriste (come le Brigate Rosse e Prima Linea) che riprendevano il dogmatismo della tradizione marxista-leninista adattandolo a giustificare pratiche di guerriglia urbana e attentati contro cose e persone</w:t>
      </w:r>
      <w:r w:rsidR="00190EC9" w:rsidRPr="003F10FF">
        <w:rPr>
          <w:rFonts w:ascii="Times New Roman" w:eastAsia="Times New Roman" w:hAnsi="Times New Roman" w:cs="Times New Roman"/>
          <w:color w:val="000000"/>
          <w:sz w:val="24"/>
          <w:szCs w:val="24"/>
        </w:rPr>
        <w:t>. Queste organizzazioni, chiuse e strutturate in modo gerarchico e autoritario, non hanno però più nulla a che fare con il ’68, che era invece un movimento democratico di massa, essenzialmente libertario.</w:t>
      </w:r>
    </w:p>
    <w:sectPr w:rsidR="00E35E81" w:rsidRPr="003F10FF" w:rsidSect="0036337B">
      <w:type w:val="continuous"/>
      <w:pgSz w:w="11909" w:h="16834"/>
      <w:pgMar w:top="1418" w:right="1134" w:bottom="1134" w:left="1134" w:header="720" w:footer="720" w:gutter="0"/>
      <w:cols w:space="221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37B"/>
    <w:rsid w:val="00190EC9"/>
    <w:rsid w:val="001D635A"/>
    <w:rsid w:val="0036337B"/>
    <w:rsid w:val="003F10FF"/>
    <w:rsid w:val="003F5E45"/>
    <w:rsid w:val="00487003"/>
    <w:rsid w:val="004D56DC"/>
    <w:rsid w:val="006D6042"/>
    <w:rsid w:val="006E7E45"/>
    <w:rsid w:val="009755A5"/>
    <w:rsid w:val="00B24829"/>
    <w:rsid w:val="00B32DDE"/>
    <w:rsid w:val="00C609B2"/>
    <w:rsid w:val="00E35E81"/>
    <w:rsid w:val="00EC753E"/>
    <w:rsid w:val="00EF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4086F"/>
  <w15:docId w15:val="{2A3AE45B-29A3-4379-8B28-AC1BF4FD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5E4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g.paolo</dc:creator>
  <cp:keywords/>
  <dc:description/>
  <cp:lastModifiedBy>Elisa Fenzi</cp:lastModifiedBy>
  <cp:revision>11</cp:revision>
  <dcterms:created xsi:type="dcterms:W3CDTF">2022-09-17T06:33:00Z</dcterms:created>
  <dcterms:modified xsi:type="dcterms:W3CDTF">2023-11-25T10:24:00Z</dcterms:modified>
</cp:coreProperties>
</file>