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ind w:left="5" w:hanging="0"/>
        <w:jc w:val="center"/>
        <w:rPr>
          <w:b/>
          <w:bCs/>
          <w:i w:val="false"/>
          <w:i w:val="false"/>
          <w:iCs w:val="false"/>
          <w:color w:val="000000"/>
          <w:sz w:val="24"/>
          <w:szCs w:val="24"/>
        </w:rPr>
      </w:pPr>
      <w:r>
        <w:rPr>
          <w:b/>
          <w:bCs/>
          <w:i w:val="false"/>
          <w:iCs w:val="false"/>
          <w:smallCaps/>
          <w:color w:val="000000"/>
          <w:sz w:val="24"/>
          <w:szCs w:val="24"/>
        </w:rPr>
        <w:t>Marcello Dei</w:t>
      </w:r>
      <w:r>
        <w:rPr>
          <w:b/>
          <w:bCs/>
          <w:i w:val="false"/>
          <w:iCs w:val="false"/>
          <w:color w:val="000000"/>
          <w:sz w:val="24"/>
          <w:szCs w:val="24"/>
        </w:rPr>
        <w:t xml:space="preserve">, </w:t>
      </w:r>
      <w:r>
        <w:rPr>
          <w:b/>
          <w:bCs/>
          <w:color w:val="000000"/>
          <w:sz w:val="24"/>
          <w:szCs w:val="24"/>
        </w:rPr>
        <w:t>Prima della scuola: custodia, assistenza, educazione</w:t>
      </w:r>
    </w:p>
    <w:p>
      <w:pPr>
        <w:pStyle w:val="Normal"/>
        <w:shd w:val="clear" w:color="auto" w:fill="FFFFFF"/>
        <w:ind w:left="5" w:hanging="0"/>
        <w:jc w:val="center"/>
        <w:rPr>
          <w:b/>
          <w:bCs/>
          <w:i w:val="false"/>
          <w:i w:val="false"/>
          <w:iCs w:val="false"/>
          <w:color w:val="000000"/>
        </w:rPr>
      </w:pPr>
      <w:r>
        <w:rPr>
          <w:b/>
          <w:bCs/>
          <w:i w:val="false"/>
          <w:iCs w:val="false"/>
          <w:color w:val="000000"/>
        </w:rPr>
      </w:r>
    </w:p>
    <w:p>
      <w:pPr>
        <w:pStyle w:val="Normal"/>
        <w:shd w:val="clear" w:color="auto" w:fill="FFFFFF"/>
        <w:ind w:left="23" w:hanging="0"/>
        <w:jc w:val="right"/>
        <w:rPr>
          <w:i w:val="false"/>
          <w:i w:val="false"/>
          <w:iCs w:val="false"/>
        </w:rPr>
      </w:pPr>
      <w:r>
        <w:rPr>
          <w:i w:val="false"/>
          <w:iCs w:val="false"/>
        </w:rPr>
        <w:t>(</w:t>
      </w:r>
      <w:bookmarkStart w:id="0" w:name="_Hlk113085313"/>
      <w:r>
        <w:rPr>
          <w:i w:val="false"/>
          <w:iCs w:val="false"/>
        </w:rPr>
        <w:t xml:space="preserve">da </w:t>
      </w:r>
      <w:r>
        <w:rPr>
          <w:i w:val="false"/>
          <w:iCs w:val="false"/>
          <w:smallCaps/>
        </w:rPr>
        <w:t>M. Dei</w:t>
      </w:r>
      <w:r>
        <w:rPr>
          <w:i w:val="false"/>
          <w:iCs w:val="false"/>
        </w:rPr>
        <w:t xml:space="preserve">, </w:t>
      </w:r>
      <w:bookmarkEnd w:id="0"/>
      <w:r>
        <w:rPr/>
        <w:t>La scuola in Italia</w:t>
      </w:r>
      <w:r>
        <w:rPr>
          <w:i w:val="false"/>
          <w:iCs w:val="false"/>
        </w:rPr>
        <w:t>, Il Mulino, Bologna 2000, pp. 35-38)</w:t>
      </w:r>
    </w:p>
    <w:p>
      <w:pPr>
        <w:pStyle w:val="Normal"/>
        <w:shd w:val="clear" w:color="auto" w:fill="FFFFFF"/>
        <w:ind w:left="5" w:hanging="0"/>
        <w:jc w:val="both"/>
        <w:rPr>
          <w:i w:val="false"/>
          <w:i w:val="false"/>
          <w:iCs w:val="false"/>
          <w:color w:val="000000"/>
          <w:sz w:val="24"/>
          <w:szCs w:val="24"/>
        </w:rPr>
      </w:pPr>
      <w:r>
        <w:rPr>
          <w:i w:val="false"/>
          <w:iCs w:val="false"/>
          <w:color w:val="000000"/>
          <w:sz w:val="24"/>
          <w:szCs w:val="24"/>
        </w:rPr>
      </w:r>
    </w:p>
    <w:p>
      <w:pPr>
        <w:pStyle w:val="Normal"/>
        <w:shd w:val="clear" w:color="auto" w:fill="FFFFFF"/>
        <w:ind w:left="5" w:firstLine="421"/>
        <w:jc w:val="both"/>
        <w:rPr>
          <w:sz w:val="24"/>
          <w:szCs w:val="24"/>
        </w:rPr>
      </w:pPr>
      <w:r>
        <w:rPr>
          <w:i w:val="false"/>
          <w:iCs w:val="false"/>
          <w:color w:val="000000"/>
          <w:sz w:val="24"/>
          <w:szCs w:val="24"/>
        </w:rPr>
        <w:t>Nell’origine storica del termine istruzione prescolare c’è una contraddizione. Le organizzazioni che l’hanno prefigurata non si proponevano alcuna finalità di istruzione. Il modello ottocentesco di asilo per l’infanzia era incentrato esclusivame</w:t>
      </w:r>
      <w:r>
        <w:rPr>
          <w:i w:val="false"/>
          <w:iCs w:val="false"/>
          <w:color w:val="000000"/>
          <w:sz w:val="24"/>
          <w:szCs w:val="24"/>
        </w:rPr>
        <w:t>n</w:t>
      </w:r>
      <w:r>
        <w:rPr>
          <w:i w:val="false"/>
          <w:iCs w:val="false"/>
          <w:color w:val="000000"/>
          <w:sz w:val="24"/>
          <w:szCs w:val="24"/>
        </w:rPr>
        <w:t>te sulla beneficenza. Il suo obiettivo era di offrire assistenza e custodia ai fanciulli pi</w:t>
      </w:r>
      <w:r>
        <w:rPr>
          <w:rFonts w:eastAsia="Times New Roman"/>
          <w:i w:val="false"/>
          <w:iCs w:val="false"/>
          <w:color w:val="000000"/>
          <w:sz w:val="24"/>
          <w:szCs w:val="24"/>
        </w:rPr>
        <w:t>ù bisognosi e/o abbandonati. È di prammatica citare a questo punto il primo asilo d’infanzia italiano: quello che Ferrante Aporti istituì a Torino nel 1827. Passato più di un secolo e mezzo, è ovvio constatare che l’asilo infantile sta alla scuola materna come le opere caritative stanno allo stato sociale. Quali sono gli sviluppi più significativi che hanno trasformato gli asili infantili in scuole materne?</w:t>
      </w:r>
    </w:p>
    <w:p>
      <w:pPr>
        <w:pStyle w:val="Normal"/>
        <w:shd w:val="clear" w:color="auto" w:fill="FFFFFF"/>
        <w:spacing w:before="5" w:after="0"/>
        <w:ind w:right="5" w:firstLine="421"/>
        <w:jc w:val="both"/>
        <w:rPr>
          <w:rFonts w:eastAsia="Times New Roman"/>
          <w:i w:val="false"/>
          <w:i w:val="false"/>
          <w:iCs w:val="false"/>
          <w:color w:val="000000"/>
          <w:sz w:val="24"/>
          <w:szCs w:val="24"/>
        </w:rPr>
      </w:pPr>
      <w:r>
        <w:rPr>
          <w:i w:val="false"/>
          <w:iCs w:val="false"/>
          <w:color w:val="000000"/>
          <w:sz w:val="24"/>
          <w:szCs w:val="24"/>
        </w:rPr>
        <w:t>Per darne conto, bisogna innanzitutto rivolgere l’attenzione ai processi di industrializzazione e di urbanizzazione e alle ripercussioni che hanno avuto sulla struttura della famiglia. Cautela vuole che per spiegare come e perch</w:t>
      </w:r>
      <w:r>
        <w:rPr>
          <w:rFonts w:eastAsia="Times New Roman"/>
          <w:i w:val="false"/>
          <w:iCs w:val="false"/>
          <w:color w:val="000000"/>
          <w:sz w:val="24"/>
          <w:szCs w:val="24"/>
        </w:rPr>
        <w:t>é l’educazione dei figli ha smesso di compiersi tra le mura della casa paterna non si ecceda nell’impiegare la pur stretta relazione esistente tra economia agricola/tradizionale e modelli di famiglia pa</w:t>
        <w:softHyphen/>
        <w:t>triarcale, tra sviluppo economico e modelli di famiglia coniu</w:t>
        <w:softHyphen/>
        <w:t>gale. Tale relazione è una premessa alla quale occorre aggiun</w:t>
        <w:softHyphen/>
        <w:t>gere altri fattori specifici. È ragionevole sospettare che il ritardo del nostro paese nell’assistenza pubblica all’infanzia non sia dipeso esclusivamente dalla limitatezza e dalla lentez</w:t>
        <w:softHyphen/>
        <w:t>za dello sviluppo economico, ma anche dalle scelte della classe politica. Dall’Unità d’Italia al 1923 lo Stato si è interes</w:t>
        <w:softHyphen/>
        <w:t xml:space="preserve">sato ben poco degli asili infantili e meno ancora della loro evoluzione da opere di assistenza e beneficenza a strumenti educativi di massa. </w:t>
      </w:r>
    </w:p>
    <w:p>
      <w:pPr>
        <w:pStyle w:val="Normal"/>
        <w:shd w:val="clear" w:color="auto" w:fill="FFFFFF"/>
        <w:spacing w:before="5" w:after="0"/>
        <w:ind w:right="5" w:firstLine="421"/>
        <w:jc w:val="both"/>
        <w:rPr>
          <w:rFonts w:eastAsia="Times New Roman"/>
          <w:i w:val="false"/>
          <w:i w:val="false"/>
          <w:iCs w:val="false"/>
          <w:color w:val="000000"/>
          <w:sz w:val="24"/>
          <w:szCs w:val="24"/>
        </w:rPr>
      </w:pPr>
      <w:r>
        <w:rPr>
          <w:rFonts w:eastAsia="Times New Roman"/>
          <w:i w:val="false"/>
          <w:iCs w:val="false"/>
          <w:color w:val="000000"/>
          <w:sz w:val="24"/>
          <w:szCs w:val="24"/>
        </w:rPr>
        <w:t>Nel 1923 la legge di riforma di Giovanni Gentile stabilì che</w:t>
      </w:r>
    </w:p>
    <w:p>
      <w:pPr>
        <w:pStyle w:val="Normal"/>
        <w:shd w:val="clear" w:color="auto" w:fill="FFFFFF"/>
        <w:spacing w:before="5" w:after="0"/>
        <w:ind w:right="5" w:firstLine="346"/>
        <w:jc w:val="both"/>
        <w:rPr>
          <w:i w:val="false"/>
          <w:i w:val="false"/>
          <w:sz w:val="22"/>
          <w:szCs w:val="22"/>
        </w:rPr>
      </w:pPr>
      <w:r>
        <w:rPr>
          <w:i w:val="false"/>
          <w:sz w:val="22"/>
          <w:szCs w:val="22"/>
        </w:rPr>
      </w:r>
    </w:p>
    <w:p>
      <w:pPr>
        <w:pStyle w:val="Normal"/>
        <w:shd w:val="clear" w:color="auto" w:fill="FFFFFF"/>
        <w:ind w:left="284" w:hanging="0"/>
        <w:jc w:val="both"/>
        <w:rPr>
          <w:rFonts w:eastAsia="Times New Roman"/>
          <w:i w:val="false"/>
          <w:i w:val="false"/>
          <w:iCs w:val="false"/>
          <w:color w:val="000000"/>
          <w:sz w:val="22"/>
          <w:szCs w:val="22"/>
        </w:rPr>
      </w:pPr>
      <w:r>
        <w:rPr>
          <w:i w:val="false"/>
          <w:iCs w:val="false"/>
          <w:color w:val="000000"/>
          <w:sz w:val="22"/>
          <w:szCs w:val="22"/>
        </w:rPr>
        <w:t>l’istruzione del grado preparatorio ha carattere ricreativo e tende a discipli</w:t>
        <w:softHyphen/>
        <w:t>nare le prime manifestazioni dell’intelligenza e del carattere del bambino. Essa comprende, oltre alle preghiere pi</w:t>
      </w:r>
      <w:r>
        <w:rPr>
          <w:rFonts w:eastAsia="Times New Roman"/>
          <w:i w:val="false"/>
          <w:iCs w:val="false"/>
          <w:color w:val="000000"/>
          <w:sz w:val="22"/>
          <w:szCs w:val="22"/>
        </w:rPr>
        <w:t>ù semplici, canto e audizione musi</w:t>
        <w:softHyphen/>
        <w:t>cale; disegno spontaneo; giochi ginnastici; facili esercizi di costruzione, di plastica, di altri lavori manuali; giardinaggio e allevamento di animali dome</w:t>
        <w:softHyphen/>
        <w:t>stici; rudimenti delle nozioni di più generale possesso e correzione di pregiudizi e superstizioni popolari.</w:t>
      </w:r>
    </w:p>
    <w:p>
      <w:pPr>
        <w:pStyle w:val="Normal"/>
        <w:shd w:val="clear" w:color="auto" w:fill="FFFFFF"/>
        <w:ind w:left="6" w:hanging="0"/>
        <w:jc w:val="both"/>
        <w:rPr>
          <w:i w:val="false"/>
          <w:i w:val="false"/>
          <w:iCs w:val="false"/>
          <w:sz w:val="22"/>
          <w:szCs w:val="22"/>
        </w:rPr>
      </w:pPr>
      <w:r>
        <w:rPr>
          <w:i w:val="false"/>
          <w:iCs w:val="false"/>
          <w:sz w:val="22"/>
          <w:szCs w:val="22"/>
        </w:rPr>
      </w:r>
    </w:p>
    <w:p>
      <w:pPr>
        <w:pStyle w:val="Normal"/>
        <w:shd w:val="clear" w:color="auto" w:fill="FFFFFF"/>
        <w:ind w:left="23" w:firstLine="403"/>
        <w:jc w:val="both"/>
        <w:rPr>
          <w:i w:val="false"/>
          <w:i w:val="false"/>
          <w:iCs w:val="false"/>
          <w:sz w:val="24"/>
          <w:szCs w:val="24"/>
        </w:rPr>
      </w:pPr>
      <w:r>
        <w:rPr>
          <w:i w:val="false"/>
          <w:iCs w:val="false"/>
          <w:sz w:val="24"/>
          <w:szCs w:val="24"/>
        </w:rPr>
        <w:t>L’impronta assistenzialistica non era superata. Anche se la vigilanza spettava al ministero della Pubblica istruzione, la scuola di grado preparatorio era soggetta alla tutela del ministero dell’Interno al pari di ogni istituto di pubblica beneficenza. A ogni buon conto, la riforma rimase sulla carta e la scuola dell’infanzia continuò a essere affidata all’iniziativa di «enti pubblici, comitati o privati» e a svilupparsi come iniziativa assistenziale fino all’isti</w:t>
        <w:softHyphen/>
        <w:t>tuzione della scuola materna statale nel 1968.</w:t>
      </w:r>
    </w:p>
    <w:p>
      <w:pPr>
        <w:pStyle w:val="Normal"/>
        <w:shd w:val="clear" w:color="auto" w:fill="FFFFFF"/>
        <w:ind w:left="23" w:firstLine="403"/>
        <w:jc w:val="both"/>
        <w:rPr>
          <w:i w:val="false"/>
          <w:i w:val="false"/>
          <w:iCs w:val="false"/>
          <w:sz w:val="24"/>
          <w:szCs w:val="24"/>
        </w:rPr>
      </w:pPr>
      <w:r>
        <w:rPr>
          <w:i w:val="false"/>
          <w:iCs w:val="false"/>
          <w:sz w:val="24"/>
          <w:szCs w:val="24"/>
        </w:rPr>
        <w:t>Scuola materna è un termine che dobbiamo al mondo educativo cattolico e che, facendo perno sul ruolo tradizionale della madre, evoca il clima della famiglia. Impiegarlo non significa optare per una posizione ideologica, perché questa è la denominazione legislativa ufficiale entrata ormai saldamente nell’uso comune. Un annoso dibattito tra i partiti precede la legge istitutiva della scuola materna. Inizialmente lo scenario politico era caratterizzato da un governo formato dalla Dc e dai partiti laici minori, con il Pci e il Psi all’opposizione. Nel 1962 il Psi entrò nella maggioranza portando con sé una forte do</w:t>
        <w:softHyphen/>
        <w:t>manda di cambiamento sociale. I punti cruciali della legge in discussione riguardavano la natura e le finalità della scuola materna, i rapporti tra la scuola materna statale e quella non statale, il finanziamento da parte dello Stato e infine il genere del personale. Per la Dc la scuola dell’infanzia doveva svolgere un’attività di tipo assistenziale, sussidiaria nei confronti della famiglia, con l’impiego di personale esclusivamente femminile (come già accadeva nelle scuole materne private). I partiti laici - con motivazioni diverse, dal Pci al Pli - sostenevano all’oppo</w:t>
        <w:softHyphen/>
        <w:t>sto che essa doveva avere finalità educative in quanto primo gradino dell’istruzione. Ad accendere i toni del dibattito non furono tanto la diversità degli orientamenti pedagogici, pur molto importanti, quanto la questione del finanziamento della scuola privata, che in Italia è sempre stata largamente concen</w:t>
        <w:softHyphen/>
        <w:t>trata nelle mani dei religiosi. Il punto d’attrito era l’art. 33 della Costituzione, che sancisce la libertà dell’insegnamento e consente a chiunque di istituire scuole «senza oneri per lo Stato». Per la Dc lo Stato non ha l’obbligo di finanziare la scuola privata, ma può farlo in base a considerazioni di opportunità e funzionalità. Inoltre, la definizione della scuola materna come istituzione sussidiaria rispetto alla famiglia poteva legittimare la richiesta di sussidi statali invocando l’art. 31 della Costituzione, che prevede provvidenze in favore della famiglia. D’altra parte, mancando la legge istitutiva della scuola materna statale, gli stanziamenti favorirono lo sviluppo della scuola dell’infanzia nelle strutture esistenti, ossia potenziarono la scuola non stata</w:t>
        <w:softHyphen/>
        <w:t>le. La «rivalità» tra famiglia e scuola risale alla storica frattura tra cattolici e laici. I laici non hanno mai mirato a disgregare l’istituzione della famiglia, semmai è vero che il cattolicesimo tradizionale si è sempre identificato con una concezione più tradizionale della famiglia. Gli uni e gli altri hanno costante</w:t>
        <w:softHyphen/>
        <w:t>mente individuato nei progetti educativi dell’avversario un dise</w:t>
        <w:softHyphen/>
        <w:t>gno catastrofico: la scristianizzazione/la clericalizzazione della scuola, della famiglia, dell’intera società. Oggi quella tensione ideologica è calata e il problema non si pone più in termini di incompatibilità, ma di reciproca integrazione, e ci si chiede cosa può fare la scuola materna per rispondere nel miglior modo possibile alle domande delle famiglie e assicurare ai bambini un ambiente ricco di stimoli.</w:t>
      </w:r>
    </w:p>
    <w:p>
      <w:pPr>
        <w:pStyle w:val="Normal"/>
        <w:shd w:val="clear" w:color="auto" w:fill="FFFFFF"/>
        <w:rPr>
          <w:i w:val="false"/>
          <w:i w:val="false"/>
          <w:iCs w:val="false"/>
          <w:sz w:val="24"/>
          <w:szCs w:val="24"/>
        </w:rPr>
      </w:pPr>
      <w:r>
        <w:rPr/>
      </w:r>
    </w:p>
    <w:sectPr>
      <w:type w:val="nextPage"/>
      <w:pgSz w:w="11906" w:h="16838"/>
      <w:pgMar w:left="1134" w:right="1134" w:gutter="0" w:header="0" w:top="1418" w:footer="0" w:bottom="1134"/>
      <w:pgNumType w:fmt="decimal"/>
      <w:formProt w:val="false"/>
      <w:textDirection w:val="lrTb"/>
      <w:docGrid w:type="default" w:linePitch="27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30"/>
  <w:embedSystemFonts/>
  <w:defaultTabStop w:val="720"/>
  <w:autoHyphenation w:val="true"/>
  <w:hyphenationZone w:val="283"/>
  <w:compat>
    <w:doNotExpandShiftReturn/>
    <w:compatSetting w:name="compatibilityMode" w:uri="http://schemas.microsoft.com/office/word" w:val="12"/>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27643"/>
    <w:pPr>
      <w:widowControl w:val="false"/>
      <w:suppressAutoHyphens w:val="false"/>
      <w:bidi w:val="0"/>
      <w:spacing w:lineRule="auto" w:line="240" w:before="0" w:after="0"/>
      <w:jc w:val="left"/>
    </w:pPr>
    <w:rPr>
      <w:rFonts w:ascii="Times New Roman" w:hAnsi="Times New Roman" w:cs="Times New Roman" w:eastAsia="" w:eastAsiaTheme="minorEastAsia"/>
      <w:i/>
      <w:iCs/>
      <w:color w:val="auto"/>
      <w:kern w:val="0"/>
      <w:sz w:val="20"/>
      <w:szCs w:val="20"/>
      <w:lang w:val="it-IT" w:eastAsia="it-IT" w:bidi="ar-SA"/>
    </w:rPr>
  </w:style>
  <w:style w:type="character" w:styleId="DefaultParagraphFont" w:default="1">
    <w:name w:val="Default Paragraph Font"/>
    <w:uiPriority w:val="1"/>
    <w:semiHidden/>
    <w:unhideWhenUsed/>
    <w:qFormat/>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Application>LibreOffice/7.5.3.2$Windows_X86_64 LibreOffice_project/9f56dff12ba03b9acd7730a5a481eea045e468f3</Application>
  <AppVersion>15.0000</AppVersion>
  <Pages>2</Pages>
  <Words>876</Words>
  <Characters>5179</Characters>
  <CharactersWithSpaces>6048</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2022-09-02T09:19:00Z</dcterms:created>
  <dc:creator>g.paolo</dc:creator>
  <dc:description/>
  <dc:language>it-IT</dc:language>
  <cp:lastModifiedBy/>
  <dcterms:modified xsi:type="dcterms:W3CDTF">2023-06-01T07:33:46Z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