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50ADC" w14:textId="77777777" w:rsidR="0014580D" w:rsidRPr="00B901DE" w:rsidRDefault="0054301A">
      <w:pPr>
        <w:jc w:val="center"/>
        <w:rPr>
          <w:rFonts w:ascii="Times New Roman" w:hAnsi="Times New Roman"/>
          <w:b/>
          <w:bCs/>
          <w:color w:val="FFFFFF"/>
        </w:rPr>
      </w:pPr>
      <w:r w:rsidRPr="00B901DE">
        <w:rPr>
          <w:rFonts w:ascii="Times New Roman" w:hAnsi="Times New Roman"/>
          <w:b/>
          <w:bCs/>
          <w:smallCaps/>
          <w:color w:val="000000"/>
        </w:rPr>
        <w:t xml:space="preserve">Guido </w:t>
      </w:r>
      <w:proofErr w:type="spellStart"/>
      <w:r w:rsidRPr="00B901DE">
        <w:rPr>
          <w:rFonts w:ascii="Times New Roman" w:hAnsi="Times New Roman"/>
          <w:b/>
          <w:bCs/>
          <w:smallCaps/>
          <w:color w:val="000000"/>
        </w:rPr>
        <w:t>Crainz</w:t>
      </w:r>
      <w:proofErr w:type="spellEnd"/>
      <w:r w:rsidRPr="00B901DE">
        <w:rPr>
          <w:rFonts w:ascii="Times New Roman" w:hAnsi="Times New Roman"/>
          <w:b/>
          <w:bCs/>
          <w:color w:val="000000"/>
        </w:rPr>
        <w:t xml:space="preserve">, </w:t>
      </w:r>
      <w:r w:rsidRPr="00B901DE">
        <w:rPr>
          <w:rFonts w:ascii="Times New Roman" w:hAnsi="Times New Roman"/>
          <w:b/>
          <w:bCs/>
          <w:i/>
          <w:iCs/>
          <w:color w:val="000000"/>
        </w:rPr>
        <w:t>Le lacerazioni e i paradossi degli anni settanta</w:t>
      </w:r>
    </w:p>
    <w:p w14:paraId="59FE5F87" w14:textId="77777777" w:rsidR="0014580D" w:rsidRPr="00B901DE" w:rsidRDefault="0014580D">
      <w:pPr>
        <w:jc w:val="center"/>
        <w:rPr>
          <w:rFonts w:ascii="Times New Roman" w:hAnsi="Times New Roman"/>
          <w:b/>
          <w:bCs/>
          <w:color w:val="FFFFFF"/>
          <w:sz w:val="20"/>
          <w:szCs w:val="20"/>
        </w:rPr>
      </w:pPr>
    </w:p>
    <w:p w14:paraId="0EA3B46F" w14:textId="77777777" w:rsidR="0014580D" w:rsidRPr="008D2E7C" w:rsidRDefault="0054301A">
      <w:pPr>
        <w:jc w:val="center"/>
        <w:rPr>
          <w:rFonts w:ascii="Times New Roman" w:hAnsi="Times New Roman"/>
          <w:color w:val="FFFFFF"/>
          <w:sz w:val="20"/>
          <w:szCs w:val="20"/>
        </w:rPr>
      </w:pPr>
      <w:r w:rsidRPr="008D2E7C">
        <w:rPr>
          <w:rFonts w:ascii="Times New Roman" w:hAnsi="Times New Roman"/>
          <w:color w:val="000000"/>
          <w:sz w:val="20"/>
          <w:szCs w:val="20"/>
        </w:rPr>
        <w:t xml:space="preserve">(da </w:t>
      </w:r>
      <w:r w:rsidRPr="008D2E7C">
        <w:rPr>
          <w:rFonts w:ascii="Times New Roman" w:hAnsi="Times New Roman"/>
          <w:smallCaps/>
          <w:color w:val="000000"/>
          <w:sz w:val="20"/>
          <w:szCs w:val="20"/>
        </w:rPr>
        <w:t xml:space="preserve">G. </w:t>
      </w:r>
      <w:proofErr w:type="spellStart"/>
      <w:r w:rsidRPr="008D2E7C">
        <w:rPr>
          <w:rFonts w:ascii="Times New Roman" w:hAnsi="Times New Roman"/>
          <w:smallCaps/>
          <w:color w:val="000000"/>
          <w:sz w:val="20"/>
          <w:szCs w:val="20"/>
        </w:rPr>
        <w:t>Crainz</w:t>
      </w:r>
      <w:proofErr w:type="spellEnd"/>
      <w:r w:rsidRPr="008D2E7C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8D2E7C">
        <w:rPr>
          <w:rFonts w:ascii="Times New Roman" w:hAnsi="Times New Roman"/>
          <w:i/>
          <w:iCs/>
          <w:color w:val="000000"/>
          <w:sz w:val="20"/>
          <w:szCs w:val="20"/>
        </w:rPr>
        <w:t>Storia della Repubblica. L’Italia dalla Liberazione ad oggi</w:t>
      </w:r>
      <w:r w:rsidRPr="008D2E7C">
        <w:rPr>
          <w:rFonts w:ascii="Times New Roman" w:hAnsi="Times New Roman"/>
          <w:color w:val="000000"/>
          <w:sz w:val="20"/>
          <w:szCs w:val="20"/>
        </w:rPr>
        <w:t>, Donzelli, Roma 2016, pp. 153-154)</w:t>
      </w:r>
    </w:p>
    <w:p w14:paraId="394DB980" w14:textId="77777777" w:rsidR="0014580D" w:rsidRDefault="0014580D">
      <w:pPr>
        <w:jc w:val="center"/>
        <w:rPr>
          <w:rFonts w:ascii="Times New Roman" w:hAnsi="Times New Roman"/>
          <w:color w:val="FFFFFF"/>
        </w:rPr>
      </w:pPr>
    </w:p>
    <w:p w14:paraId="1DE12045" w14:textId="5F8315E7" w:rsidR="0014580D" w:rsidRDefault="0054301A" w:rsidP="001061B4">
      <w:pPr>
        <w:spacing w:line="276" w:lineRule="auto"/>
        <w:jc w:val="both"/>
        <w:rPr>
          <w:rFonts w:ascii="Times New Roman" w:hAnsi="Times New Roman"/>
          <w:color w:val="FFFFFF"/>
          <w:sz w:val="20"/>
        </w:rPr>
      </w:pPr>
      <w:r>
        <w:rPr>
          <w:rFonts w:ascii="Times New Roman" w:hAnsi="Times New Roman"/>
          <w:color w:val="000000"/>
        </w:rPr>
        <w:t xml:space="preserve">La strage di piazza Fontana annuncia gli anni settanta, un decennio in cui esplodono le tensioni della storia precedente e la violenza politica conosce asprezze senza paragone con altri paesi europei. Sono centinaia le persone che perdono la vita in seguito a stragi, atti terroristici, violenze di piazza, e migliaia i feriti: vittime nei primi anni soprattutto dello stragismo e dello squadrismo neofascista, e poi del terrorismo di sinistra degli «anni di piombo». Sullo sfondo vi è una gestione «estrema» dell’ordine pubblico che radicalizza le tensioni, e la condotta degli apparati dello Stato alimenta più di un dubbio sulla trasparenza della democrazia italiana. In questo scenario sono talora le culture del passato a orientare, e a deformare, la lettura degli eventi: riproponendo in ristretti gruppi tentazioni autoritarie fuori stagione o, all’opposto, strategie rivoluzionarie altrettanto arcaiche, frutto di ideologie defunte. Clamorosi abbagli, con conseguenze disastrose nel vivere civile; eppure negli stessi anni e negli stessi mesi avanzano in modo prepotente le istanze di rinnovamento cresciute negli anni sessanta. Con una più ampia realizzazione della Costituzione: negli istituti (dalle Regioni al referendum) e nella «democrazia quotidiana», grazie alla progressiva abolizione di norme e codici ereditati dal fascismo. Con la realizzazione di importanti conquiste: dall’introduzione del servizio civile all’abbassamento a 18 anni del diritto di voto; dalla legge sul divorzio a quella sul diritto di famiglia e a una regolamentazione dell’aborto che pone fine alle pratiche clandestine; dalla riforma sanitaria a quelle delle carceri e degli ospedali psichiatrici. Sono elementi fecondi ma al tempo stesso pesa negativamente l’incapacità della politica di riformare le istituzioni e </w:t>
      </w:r>
      <w:proofErr w:type="gramStart"/>
      <w:r>
        <w:rPr>
          <w:rFonts w:ascii="Times New Roman" w:hAnsi="Times New Roman"/>
          <w:color w:val="000000"/>
        </w:rPr>
        <w:t>se</w:t>
      </w:r>
      <w:proofErr w:type="gramEnd"/>
      <w:r>
        <w:rPr>
          <w:rFonts w:ascii="Times New Roman" w:hAnsi="Times New Roman"/>
          <w:color w:val="000000"/>
        </w:rPr>
        <w:t xml:space="preserve"> stessa. Pesa anche la sua incomprensione delle trasformazioni in corso e la sua cecità di fronte alla fine dell’«età dell’oro» degli anni cinquanta e sessanta, sancita dalla crisi petrolifera del 1973.</w:t>
      </w:r>
      <w:r w:rsidR="00CC571A">
        <w:rPr>
          <w:rStyle w:val="Rimandonotaapidipagina"/>
          <w:rFonts w:ascii="Times New Roman" w:hAnsi="Times New Roman"/>
          <w:color w:val="000000"/>
        </w:rPr>
        <w:footnoteReference w:id="1"/>
      </w:r>
    </w:p>
    <w:sectPr w:rsidR="0014580D">
      <w:pgSz w:w="11906" w:h="16838"/>
      <w:pgMar w:top="1417" w:right="1134" w:bottom="1134" w:left="1134" w:header="0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ADBD4" w14:textId="77777777" w:rsidR="00CC571A" w:rsidRDefault="00CC571A" w:rsidP="00CC571A">
      <w:r>
        <w:separator/>
      </w:r>
    </w:p>
  </w:endnote>
  <w:endnote w:type="continuationSeparator" w:id="0">
    <w:p w14:paraId="566C0375" w14:textId="77777777" w:rsidR="00CC571A" w:rsidRDefault="00CC571A" w:rsidP="00CC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C649" w14:textId="77777777" w:rsidR="00CC571A" w:rsidRDefault="00CC571A" w:rsidP="00CC571A">
      <w:r>
        <w:separator/>
      </w:r>
    </w:p>
  </w:footnote>
  <w:footnote w:type="continuationSeparator" w:id="0">
    <w:p w14:paraId="2AF301CC" w14:textId="77777777" w:rsidR="00CC571A" w:rsidRDefault="00CC571A" w:rsidP="00CC571A">
      <w:r>
        <w:continuationSeparator/>
      </w:r>
    </w:p>
  </w:footnote>
  <w:footnote w:id="1">
    <w:p w14:paraId="18761312" w14:textId="788124FF" w:rsidR="00CC571A" w:rsidRPr="00CC571A" w:rsidRDefault="00CC571A" w:rsidP="00CC571A">
      <w:pPr>
        <w:jc w:val="both"/>
        <w:rPr>
          <w:rFonts w:ascii="Times New Roman" w:hAnsi="Times New Roman" w:cs="Times New Roman"/>
          <w:color w:val="FFFFFF"/>
          <w:sz w:val="20"/>
          <w:szCs w:val="20"/>
        </w:rPr>
      </w:pPr>
      <w:r w:rsidRPr="00CC571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CC571A">
        <w:rPr>
          <w:rFonts w:ascii="Times New Roman" w:hAnsi="Times New Roman" w:cs="Times New Roman"/>
          <w:sz w:val="20"/>
          <w:szCs w:val="20"/>
        </w:rPr>
        <w:t xml:space="preserve"> </w:t>
      </w:r>
      <w:r w:rsidRPr="00CC571A">
        <w:rPr>
          <w:rFonts w:ascii="Times New Roman" w:hAnsi="Times New Roman" w:cs="Times New Roman"/>
          <w:color w:val="000000"/>
          <w:sz w:val="20"/>
          <w:szCs w:val="20"/>
        </w:rPr>
        <w:t xml:space="preserve">E. J. </w:t>
      </w:r>
      <w:proofErr w:type="spellStart"/>
      <w:r w:rsidRPr="00CC571A">
        <w:rPr>
          <w:rFonts w:ascii="Times New Roman" w:hAnsi="Times New Roman" w:cs="Times New Roman"/>
          <w:color w:val="000000"/>
          <w:sz w:val="20"/>
          <w:szCs w:val="20"/>
        </w:rPr>
        <w:t>Hob</w:t>
      </w:r>
      <w:r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CC571A">
        <w:rPr>
          <w:rFonts w:ascii="Times New Roman" w:hAnsi="Times New Roman" w:cs="Times New Roman"/>
          <w:color w:val="000000"/>
          <w:sz w:val="20"/>
          <w:szCs w:val="20"/>
        </w:rPr>
        <w:t>bawm</w:t>
      </w:r>
      <w:proofErr w:type="spellEnd"/>
      <w:r w:rsidRPr="00CC571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C571A">
        <w:rPr>
          <w:rFonts w:ascii="Times New Roman" w:hAnsi="Times New Roman" w:cs="Times New Roman"/>
          <w:i/>
          <w:iCs/>
          <w:color w:val="000000"/>
          <w:sz w:val="20"/>
          <w:szCs w:val="20"/>
        </w:rPr>
        <w:t>Il secolo breve</w:t>
      </w:r>
      <w:r w:rsidRPr="00CC571A">
        <w:rPr>
          <w:rFonts w:ascii="Times New Roman" w:hAnsi="Times New Roman" w:cs="Times New Roman"/>
          <w:color w:val="000000"/>
          <w:sz w:val="20"/>
          <w:szCs w:val="20"/>
        </w:rPr>
        <w:t>, Rizzoli, Milano 1995.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80D"/>
    <w:rsid w:val="001061B4"/>
    <w:rsid w:val="0014580D"/>
    <w:rsid w:val="0054301A"/>
    <w:rsid w:val="008D2E7C"/>
    <w:rsid w:val="00B901DE"/>
    <w:rsid w:val="00C16979"/>
    <w:rsid w:val="00CC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E20F"/>
  <w15:docId w15:val="{D2BE0853-2AD8-488C-B579-08D4F419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C571A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C571A"/>
    <w:rPr>
      <w:rFonts w:cs="Mangal"/>
      <w:sz w:val="20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C57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DA33D-F304-4B93-9E56-348A9BA3F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Fenzi</cp:lastModifiedBy>
  <cp:revision>7</cp:revision>
  <dcterms:created xsi:type="dcterms:W3CDTF">2023-10-18T09:38:00Z</dcterms:created>
  <dcterms:modified xsi:type="dcterms:W3CDTF">2023-10-21T07:47:00Z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2023-10-18T09:30:57Z</dcterms:created>
  <dc:creator/>
  <dc:description/>
  <dc:language>it-IT</dc:language>
  <cp:lastModifiedBy/>
  <dcterms:modified xsi:type="dcterms:W3CDTF">2023-10-18T09:41:14Z</dcterms:modified>
  <cp:revision>2</cp:revision>
  <dc:subject/>
  <dc:title/>
</cp:coreProperties>
</file>