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60A9A" w14:textId="77777777" w:rsidR="007F35D4" w:rsidRPr="00B53B45" w:rsidRDefault="007F35D4" w:rsidP="00B53B45">
      <w:pPr>
        <w:autoSpaceDE w:val="0"/>
        <w:autoSpaceDN w:val="0"/>
        <w:adjustRightInd w:val="0"/>
        <w:spacing w:after="0" w:line="240" w:lineRule="auto"/>
        <w:jc w:val="center"/>
        <w:rPr>
          <w:rFonts w:ascii="Times New Roman" w:hAnsi="Times New Roman" w:cs="Times New Roman"/>
          <w:b/>
          <w:bCs/>
          <w:i/>
          <w:iCs/>
          <w:kern w:val="0"/>
          <w:sz w:val="24"/>
          <w:szCs w:val="24"/>
        </w:rPr>
      </w:pPr>
      <w:r w:rsidRPr="00B53B45">
        <w:rPr>
          <w:rFonts w:ascii="Times New Roman" w:hAnsi="Times New Roman" w:cs="Times New Roman"/>
          <w:b/>
          <w:bCs/>
          <w:smallCaps/>
          <w:kern w:val="0"/>
          <w:sz w:val="24"/>
          <w:szCs w:val="24"/>
        </w:rPr>
        <w:t>Alessio Gagliardi</w:t>
      </w:r>
      <w:r w:rsidRPr="00B53B45">
        <w:rPr>
          <w:rFonts w:ascii="Times New Roman" w:hAnsi="Times New Roman" w:cs="Times New Roman"/>
          <w:b/>
          <w:bCs/>
          <w:kern w:val="0"/>
          <w:sz w:val="24"/>
          <w:szCs w:val="24"/>
        </w:rPr>
        <w:t xml:space="preserve">, </w:t>
      </w:r>
      <w:r w:rsidRPr="00B53B45">
        <w:rPr>
          <w:rFonts w:ascii="Times New Roman" w:hAnsi="Times New Roman" w:cs="Times New Roman"/>
          <w:b/>
          <w:bCs/>
          <w:i/>
          <w:iCs/>
          <w:kern w:val="0"/>
          <w:sz w:val="24"/>
          <w:szCs w:val="24"/>
        </w:rPr>
        <w:t>L’approdo agli anni ottanta</w:t>
      </w:r>
    </w:p>
    <w:p w14:paraId="24F19448" w14:textId="77777777" w:rsidR="007F35D4" w:rsidRPr="00B53B45" w:rsidRDefault="007F35D4" w:rsidP="00B53B45">
      <w:pPr>
        <w:autoSpaceDE w:val="0"/>
        <w:autoSpaceDN w:val="0"/>
        <w:adjustRightInd w:val="0"/>
        <w:spacing w:after="0" w:line="240" w:lineRule="auto"/>
        <w:jc w:val="center"/>
        <w:rPr>
          <w:rFonts w:ascii="Times New Roman" w:hAnsi="Times New Roman" w:cs="Times New Roman"/>
          <w:kern w:val="0"/>
          <w:sz w:val="20"/>
          <w:szCs w:val="20"/>
        </w:rPr>
      </w:pPr>
    </w:p>
    <w:p w14:paraId="62D25BEE" w14:textId="77777777" w:rsidR="007F35D4" w:rsidRPr="00B53B45" w:rsidRDefault="007F35D4" w:rsidP="00B53B45">
      <w:pPr>
        <w:autoSpaceDE w:val="0"/>
        <w:autoSpaceDN w:val="0"/>
        <w:adjustRightInd w:val="0"/>
        <w:spacing w:after="0" w:line="240" w:lineRule="auto"/>
        <w:jc w:val="right"/>
        <w:rPr>
          <w:rFonts w:ascii="Times New Roman" w:hAnsi="Times New Roman" w:cs="Times New Roman"/>
          <w:kern w:val="0"/>
          <w:sz w:val="20"/>
          <w:szCs w:val="20"/>
        </w:rPr>
      </w:pPr>
      <w:r w:rsidRPr="00B53B45">
        <w:rPr>
          <w:rFonts w:ascii="Times New Roman" w:hAnsi="Times New Roman" w:cs="Times New Roman"/>
          <w:kern w:val="0"/>
          <w:sz w:val="20"/>
          <w:szCs w:val="20"/>
        </w:rPr>
        <w:t xml:space="preserve">(da </w:t>
      </w:r>
      <w:r w:rsidRPr="00B53B45">
        <w:rPr>
          <w:rFonts w:ascii="Times New Roman" w:hAnsi="Times New Roman" w:cs="Times New Roman"/>
          <w:smallCaps/>
          <w:sz w:val="20"/>
          <w:szCs w:val="20"/>
        </w:rPr>
        <w:t>A</w:t>
      </w:r>
      <w:r w:rsidR="001B74B5" w:rsidRPr="00B53B45">
        <w:rPr>
          <w:rFonts w:ascii="Times New Roman" w:hAnsi="Times New Roman" w:cs="Times New Roman"/>
          <w:smallCaps/>
          <w:sz w:val="20"/>
          <w:szCs w:val="20"/>
        </w:rPr>
        <w:t>.</w:t>
      </w:r>
      <w:r w:rsidRPr="00B53B45">
        <w:rPr>
          <w:rFonts w:ascii="Times New Roman" w:hAnsi="Times New Roman" w:cs="Times New Roman"/>
          <w:smallCaps/>
          <w:sz w:val="20"/>
          <w:szCs w:val="20"/>
        </w:rPr>
        <w:t xml:space="preserve"> Gagliardi</w:t>
      </w:r>
      <w:r w:rsidRPr="00B53B45">
        <w:rPr>
          <w:rFonts w:ascii="Times New Roman" w:hAnsi="Times New Roman" w:cs="Times New Roman"/>
          <w:sz w:val="20"/>
          <w:szCs w:val="20"/>
        </w:rPr>
        <w:t xml:space="preserve">, </w:t>
      </w:r>
      <w:r w:rsidRPr="00B53B45">
        <w:rPr>
          <w:rFonts w:ascii="Times New Roman" w:hAnsi="Times New Roman" w:cs="Times New Roman"/>
          <w:i/>
          <w:iCs/>
          <w:sz w:val="20"/>
          <w:szCs w:val="20"/>
        </w:rPr>
        <w:t xml:space="preserve">«Stagione dei movimenti» e «anni di piombo»? Storia e storiografia dell’Italia degli anni settanta, </w:t>
      </w:r>
      <w:r w:rsidRPr="00B53B45">
        <w:rPr>
          <w:rFonts w:ascii="Times New Roman" w:hAnsi="Times New Roman" w:cs="Times New Roman"/>
          <w:sz w:val="20"/>
          <w:szCs w:val="20"/>
        </w:rPr>
        <w:t xml:space="preserve">in «Storica», </w:t>
      </w:r>
      <w:proofErr w:type="spellStart"/>
      <w:r w:rsidRPr="00B53B45">
        <w:rPr>
          <w:rFonts w:ascii="Times New Roman" w:hAnsi="Times New Roman" w:cs="Times New Roman"/>
          <w:sz w:val="20"/>
          <w:szCs w:val="20"/>
        </w:rPr>
        <w:t>nn</w:t>
      </w:r>
      <w:proofErr w:type="spellEnd"/>
      <w:r w:rsidRPr="00B53B45">
        <w:rPr>
          <w:rFonts w:ascii="Times New Roman" w:hAnsi="Times New Roman" w:cs="Times New Roman"/>
          <w:sz w:val="20"/>
          <w:szCs w:val="20"/>
        </w:rPr>
        <w:t xml:space="preserve">. 67-68, 2017, p. </w:t>
      </w:r>
      <w:r w:rsidR="001B74B5" w:rsidRPr="00B53B45">
        <w:rPr>
          <w:rFonts w:ascii="Times New Roman" w:hAnsi="Times New Roman" w:cs="Times New Roman"/>
          <w:sz w:val="20"/>
          <w:szCs w:val="20"/>
        </w:rPr>
        <w:t>1</w:t>
      </w:r>
      <w:r w:rsidRPr="00B53B45">
        <w:rPr>
          <w:rFonts w:ascii="Times New Roman" w:hAnsi="Times New Roman" w:cs="Times New Roman"/>
          <w:sz w:val="20"/>
          <w:szCs w:val="20"/>
        </w:rPr>
        <w:t>29</w:t>
      </w:r>
      <w:r w:rsidR="001B74B5" w:rsidRPr="00B53B45">
        <w:rPr>
          <w:rFonts w:ascii="Times New Roman" w:hAnsi="Times New Roman" w:cs="Times New Roman"/>
          <w:sz w:val="20"/>
          <w:szCs w:val="20"/>
        </w:rPr>
        <w:t>)</w:t>
      </w:r>
    </w:p>
    <w:p w14:paraId="3B1DA821" w14:textId="77777777" w:rsidR="007F35D4" w:rsidRPr="00B53B45" w:rsidRDefault="007F35D4" w:rsidP="00B53B45">
      <w:pPr>
        <w:autoSpaceDE w:val="0"/>
        <w:autoSpaceDN w:val="0"/>
        <w:adjustRightInd w:val="0"/>
        <w:spacing w:after="0" w:line="240" w:lineRule="auto"/>
        <w:jc w:val="center"/>
        <w:rPr>
          <w:rFonts w:ascii="Times New Roman" w:hAnsi="Times New Roman" w:cs="Times New Roman"/>
          <w:kern w:val="0"/>
          <w:sz w:val="28"/>
          <w:szCs w:val="28"/>
        </w:rPr>
      </w:pPr>
    </w:p>
    <w:p w14:paraId="7BC7DEB0" w14:textId="77777777" w:rsidR="007F35D4" w:rsidRPr="00B53B45" w:rsidRDefault="007F35D4" w:rsidP="00CA36E9">
      <w:pPr>
        <w:autoSpaceDE w:val="0"/>
        <w:autoSpaceDN w:val="0"/>
        <w:adjustRightInd w:val="0"/>
        <w:spacing w:after="0" w:line="276" w:lineRule="auto"/>
        <w:ind w:firstLine="426"/>
        <w:jc w:val="both"/>
        <w:rPr>
          <w:rFonts w:ascii="Times New Roman" w:hAnsi="Times New Roman" w:cs="Times New Roman"/>
          <w:kern w:val="0"/>
          <w:sz w:val="24"/>
          <w:szCs w:val="24"/>
        </w:rPr>
      </w:pPr>
      <w:r w:rsidRPr="00B53B45">
        <w:rPr>
          <w:rFonts w:ascii="Times New Roman" w:hAnsi="Times New Roman" w:cs="Times New Roman"/>
          <w:kern w:val="0"/>
          <w:sz w:val="24"/>
          <w:szCs w:val="24"/>
        </w:rPr>
        <w:t>Se le riforme senza riformismo furono anche un effetto – una sorta di eterogenesi dei fini – della grande ondata di partecipazione e conflitti, la scomparsa, nel finire del decennio, di un forte riferimento ai diritti sociali e a politiche di inclusione e perequazione costituì il segno della crescente marginalità, nello «spirito pubblico», delle ragioni originarie di quei conflitti. Sarebbe però frettoloso retrodatare queste tendenze a prima della fine degli anni settanta e farle valere per tutti gli anni ’68, durante i quali non erano niente affatto scontate o acquisite.</w:t>
      </w:r>
    </w:p>
    <w:p w14:paraId="3DB70AF0" w14:textId="77777777" w:rsidR="007F35D4" w:rsidRPr="00B53B45" w:rsidRDefault="007F35D4" w:rsidP="00CA36E9">
      <w:pPr>
        <w:autoSpaceDE w:val="0"/>
        <w:autoSpaceDN w:val="0"/>
        <w:adjustRightInd w:val="0"/>
        <w:spacing w:after="0" w:line="276" w:lineRule="auto"/>
        <w:ind w:firstLine="426"/>
        <w:jc w:val="both"/>
        <w:rPr>
          <w:rFonts w:ascii="Times New Roman" w:hAnsi="Times New Roman" w:cs="Times New Roman"/>
          <w:kern w:val="0"/>
          <w:sz w:val="24"/>
          <w:szCs w:val="24"/>
        </w:rPr>
      </w:pPr>
      <w:r w:rsidRPr="00B53B45">
        <w:rPr>
          <w:rFonts w:ascii="Times New Roman" w:hAnsi="Times New Roman" w:cs="Times New Roman"/>
          <w:kern w:val="0"/>
          <w:sz w:val="24"/>
          <w:szCs w:val="24"/>
        </w:rPr>
        <w:t>L’approdo italiano – e non solo italiano – agli anni ottanta si caratterizzò proprio per la forte attenzione alle libertà personali e al ridimensionamento dell’interesse alla solidarietà e alla dimensione collettiva. Lungo questa linea si sarebbero riorganizzate le principali culture politiche ma anche le mobilitazioni collettive e le proteste extrapartitiche, benché fortemente ridimensionate. La grande carica di energia sociale emersa negli anni settanta (e le traiettorie individuali dei numerosi protagonisti di quella stagione), infatti, non si andò solo disperdendo nell’anomia e nella riscoperta della vita privata, nell’eroina o nell’ultima chiamata della lotta armata. Confluì in parte anche in un impegno di tipo diverso, quello del «volontariato», che rinunciava a praticare conflitti e a inseguire palingenesi e proiezioni universalizzanti; e confluì nei nuovi movimenti, come quelli per la pace, antinucleare o ambientalista e nelle nuove culture underground. Si impone quindi, agli storici, la necessità di ripensare il passaggio tra le due fasi non solo in termini oppositivi ma come un intreccio di evidenti discontinuità e complesse e spesso sotterranee continuità</w:t>
      </w:r>
      <w:r w:rsidRPr="00B53B45">
        <w:rPr>
          <w:rStyle w:val="Rimandonotaapidipagina"/>
          <w:rFonts w:ascii="Times New Roman" w:hAnsi="Times New Roman" w:cs="Times New Roman"/>
          <w:kern w:val="0"/>
          <w:sz w:val="24"/>
          <w:szCs w:val="24"/>
        </w:rPr>
        <w:footnoteReference w:id="1"/>
      </w:r>
      <w:r w:rsidRPr="00B53B45">
        <w:rPr>
          <w:rFonts w:ascii="Times New Roman" w:hAnsi="Times New Roman" w:cs="Times New Roman"/>
          <w:kern w:val="0"/>
          <w:sz w:val="24"/>
          <w:szCs w:val="24"/>
        </w:rPr>
        <w:t>.</w:t>
      </w:r>
    </w:p>
    <w:sectPr w:rsidR="007F35D4" w:rsidRPr="00B53B4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8A5B6" w14:textId="77777777" w:rsidR="007F35D4" w:rsidRDefault="007F35D4" w:rsidP="007F35D4">
      <w:pPr>
        <w:spacing w:after="0" w:line="240" w:lineRule="auto"/>
      </w:pPr>
      <w:r>
        <w:separator/>
      </w:r>
    </w:p>
  </w:endnote>
  <w:endnote w:type="continuationSeparator" w:id="0">
    <w:p w14:paraId="79D8C597" w14:textId="77777777" w:rsidR="007F35D4" w:rsidRDefault="007F35D4" w:rsidP="007F3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B5C8D" w14:textId="77777777" w:rsidR="007F35D4" w:rsidRDefault="007F35D4" w:rsidP="007F35D4">
      <w:pPr>
        <w:spacing w:after="0" w:line="240" w:lineRule="auto"/>
      </w:pPr>
      <w:r>
        <w:separator/>
      </w:r>
    </w:p>
  </w:footnote>
  <w:footnote w:type="continuationSeparator" w:id="0">
    <w:p w14:paraId="0892F12D" w14:textId="77777777" w:rsidR="007F35D4" w:rsidRDefault="007F35D4" w:rsidP="007F35D4">
      <w:pPr>
        <w:spacing w:after="0" w:line="240" w:lineRule="auto"/>
      </w:pPr>
      <w:r>
        <w:continuationSeparator/>
      </w:r>
    </w:p>
  </w:footnote>
  <w:footnote w:id="1">
    <w:p w14:paraId="399B0879" w14:textId="77777777" w:rsidR="007F35D4" w:rsidRPr="007F35D4" w:rsidRDefault="007F35D4" w:rsidP="007F35D4">
      <w:pPr>
        <w:spacing w:after="0" w:line="240" w:lineRule="auto"/>
        <w:jc w:val="both"/>
        <w:rPr>
          <w:rFonts w:ascii="Times New Roman" w:hAnsi="Times New Roman" w:cs="Times New Roman"/>
          <w:sz w:val="20"/>
          <w:szCs w:val="20"/>
        </w:rPr>
      </w:pPr>
      <w:r w:rsidRPr="007F35D4">
        <w:rPr>
          <w:rStyle w:val="Rimandonotaapidipagina"/>
          <w:rFonts w:ascii="Times New Roman" w:hAnsi="Times New Roman" w:cs="Times New Roman"/>
          <w:sz w:val="20"/>
          <w:szCs w:val="20"/>
        </w:rPr>
        <w:footnoteRef/>
      </w:r>
      <w:r w:rsidRPr="007F35D4">
        <w:rPr>
          <w:rFonts w:ascii="Times New Roman" w:hAnsi="Times New Roman" w:cs="Times New Roman"/>
          <w:sz w:val="20"/>
          <w:szCs w:val="20"/>
        </w:rPr>
        <w:t xml:space="preserve"> </w:t>
      </w:r>
      <w:r w:rsidR="002535A6" w:rsidRPr="002535A6">
        <w:rPr>
          <w:rFonts w:ascii="Times New Roman" w:hAnsi="Times New Roman" w:cs="Times New Roman"/>
          <w:smallCaps/>
          <w:sz w:val="20"/>
          <w:szCs w:val="20"/>
        </w:rPr>
        <w:t xml:space="preserve">Marica </w:t>
      </w:r>
      <w:r w:rsidRPr="002535A6">
        <w:rPr>
          <w:rFonts w:ascii="Times New Roman" w:hAnsi="Times New Roman" w:cs="Times New Roman"/>
          <w:smallCaps/>
          <w:kern w:val="0"/>
          <w:sz w:val="20"/>
          <w:szCs w:val="20"/>
        </w:rPr>
        <w:t>Tolomelli</w:t>
      </w:r>
      <w:r w:rsidRPr="007F35D4">
        <w:rPr>
          <w:rFonts w:ascii="Times New Roman" w:hAnsi="Times New Roman" w:cs="Times New Roman"/>
          <w:kern w:val="0"/>
          <w:sz w:val="20"/>
          <w:szCs w:val="20"/>
        </w:rPr>
        <w:t xml:space="preserve">, </w:t>
      </w:r>
      <w:r w:rsidRPr="007F35D4">
        <w:rPr>
          <w:rFonts w:ascii="Times New Roman" w:hAnsi="Times New Roman" w:cs="Times New Roman"/>
          <w:i/>
          <w:iCs/>
          <w:kern w:val="0"/>
          <w:sz w:val="20"/>
          <w:szCs w:val="20"/>
        </w:rPr>
        <w:t>L’Italia dei movimenti</w:t>
      </w:r>
      <w:r w:rsidR="002535A6">
        <w:rPr>
          <w:rFonts w:ascii="Times New Roman" w:hAnsi="Times New Roman" w:cs="Times New Roman"/>
          <w:i/>
          <w:iCs/>
          <w:kern w:val="0"/>
          <w:sz w:val="20"/>
          <w:szCs w:val="20"/>
        </w:rPr>
        <w:t>. Politica e società nella Prima repubblica</w:t>
      </w:r>
      <w:r w:rsidRPr="007F35D4">
        <w:rPr>
          <w:rFonts w:ascii="Times New Roman" w:hAnsi="Times New Roman" w:cs="Times New Roman"/>
          <w:kern w:val="0"/>
          <w:sz w:val="20"/>
          <w:szCs w:val="20"/>
        </w:rPr>
        <w:t xml:space="preserve">, </w:t>
      </w:r>
      <w:r w:rsidR="002535A6">
        <w:rPr>
          <w:rFonts w:ascii="Times New Roman" w:hAnsi="Times New Roman" w:cs="Times New Roman"/>
          <w:kern w:val="0"/>
          <w:sz w:val="20"/>
          <w:szCs w:val="20"/>
        </w:rPr>
        <w:t xml:space="preserve">Carocci, Roma 2015, </w:t>
      </w:r>
      <w:r w:rsidRPr="007F35D4">
        <w:rPr>
          <w:rFonts w:ascii="Times New Roman" w:hAnsi="Times New Roman" w:cs="Times New Roman"/>
          <w:kern w:val="0"/>
          <w:sz w:val="20"/>
          <w:szCs w:val="20"/>
        </w:rPr>
        <w:t>pp. 206</w:t>
      </w:r>
      <w:r>
        <w:rPr>
          <w:rFonts w:ascii="Times New Roman" w:hAnsi="Times New Roman" w:cs="Times New Roman"/>
          <w:kern w:val="0"/>
          <w:sz w:val="20"/>
          <w:szCs w:val="20"/>
        </w:rPr>
        <w:t>-</w:t>
      </w:r>
      <w:r w:rsidR="00BA7887">
        <w:rPr>
          <w:rFonts w:ascii="Times New Roman" w:hAnsi="Times New Roman" w:cs="Times New Roman"/>
          <w:kern w:val="0"/>
          <w:sz w:val="20"/>
          <w:szCs w:val="20"/>
        </w:rPr>
        <w:t>2</w:t>
      </w:r>
      <w:r w:rsidRPr="007F35D4">
        <w:rPr>
          <w:rFonts w:ascii="Times New Roman" w:hAnsi="Times New Roman" w:cs="Times New Roman"/>
          <w:kern w:val="0"/>
          <w:sz w:val="20"/>
          <w:szCs w:val="20"/>
        </w:rPr>
        <w:t>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5D4"/>
    <w:rsid w:val="001B74B5"/>
    <w:rsid w:val="002535A6"/>
    <w:rsid w:val="00490DCE"/>
    <w:rsid w:val="007F35D4"/>
    <w:rsid w:val="00B53B45"/>
    <w:rsid w:val="00BA64B2"/>
    <w:rsid w:val="00BA7887"/>
    <w:rsid w:val="00CA36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BD0E8"/>
  <w15:chartTrackingRefBased/>
  <w15:docId w15:val="{262ECE97-3D5C-4B06-BEA7-E8EC5B94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7F35D4"/>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F35D4"/>
    <w:rPr>
      <w:sz w:val="20"/>
      <w:szCs w:val="20"/>
    </w:rPr>
  </w:style>
  <w:style w:type="character" w:styleId="Rimandonotaapidipagina">
    <w:name w:val="footnote reference"/>
    <w:basedOn w:val="Carpredefinitoparagrafo"/>
    <w:uiPriority w:val="99"/>
    <w:semiHidden/>
    <w:unhideWhenUsed/>
    <w:rsid w:val="007F35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5FCDC-5CBF-4B7E-B9ED-F2D4E442C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294</Words>
  <Characters>1678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Fenzi</dc:creator>
  <cp:keywords/>
  <dc:description/>
  <cp:lastModifiedBy>Elisa Fenzi</cp:lastModifiedBy>
  <cp:revision>6</cp:revision>
  <dcterms:created xsi:type="dcterms:W3CDTF">2023-05-10T07:22:00Z</dcterms:created>
  <dcterms:modified xsi:type="dcterms:W3CDTF">2023-11-25T10:32:00Z</dcterms:modified>
</cp:coreProperties>
</file>